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cs="方正仿宋_GBK"/>
          <w:kern w:val="0"/>
          <w:szCs w:val="32"/>
        </w:rPr>
      </w:pPr>
      <w:bookmarkStart w:id="0" w:name="_GoBack"/>
      <w:bookmarkEnd w:id="0"/>
      <w:r>
        <w:rPr>
          <w:rFonts w:hint="eastAsia" w:eastAsia="方正黑体_GBK"/>
          <w:szCs w:val="32"/>
        </w:rPr>
        <w:t>附件1</w:t>
      </w:r>
    </w:p>
    <w:p>
      <w:pPr>
        <w:spacing w:beforeLines="30" w:line="0" w:lineRule="atLeast"/>
        <w:jc w:val="center"/>
        <w:rPr>
          <w:rFonts w:eastAsia="方正小标宋_GBK" w:cs="Times New Roman"/>
          <w:kern w:val="0"/>
          <w:sz w:val="44"/>
          <w:szCs w:val="44"/>
        </w:rPr>
      </w:pPr>
      <w:r>
        <w:rPr>
          <w:rFonts w:hint="eastAsia" w:eastAsia="方正小标宋_GBK" w:cs="Times New Roman"/>
          <w:kern w:val="0"/>
          <w:sz w:val="44"/>
          <w:szCs w:val="44"/>
        </w:rPr>
        <w:t>2021年</w:t>
      </w:r>
      <w:r>
        <w:rPr>
          <w:rFonts w:eastAsia="方正小标宋_GBK" w:cs="Times New Roman"/>
          <w:kern w:val="0"/>
          <w:sz w:val="44"/>
          <w:szCs w:val="44"/>
        </w:rPr>
        <w:t>江阴</w:t>
      </w:r>
      <w:r>
        <w:rPr>
          <w:rFonts w:hint="eastAsia" w:eastAsia="方正小标宋_GBK" w:cs="Times New Roman"/>
          <w:kern w:val="0"/>
          <w:sz w:val="44"/>
          <w:szCs w:val="44"/>
        </w:rPr>
        <w:t>“</w:t>
      </w:r>
      <w:r>
        <w:rPr>
          <w:rFonts w:eastAsia="方正小标宋_GBK" w:cs="Times New Roman"/>
          <w:kern w:val="0"/>
          <w:sz w:val="44"/>
          <w:szCs w:val="44"/>
        </w:rPr>
        <w:t>霞客之光</w:t>
      </w:r>
      <w:r>
        <w:rPr>
          <w:rFonts w:hint="eastAsia" w:eastAsia="方正小标宋_GBK" w:cs="Times New Roman"/>
          <w:kern w:val="0"/>
          <w:sz w:val="44"/>
          <w:szCs w:val="44"/>
        </w:rPr>
        <w:t>”</w:t>
      </w:r>
      <w:r>
        <w:rPr>
          <w:rFonts w:eastAsia="方正小标宋_GBK" w:cs="Times New Roman"/>
          <w:kern w:val="0"/>
          <w:sz w:val="44"/>
          <w:szCs w:val="44"/>
        </w:rPr>
        <w:t>产业自主创新</w:t>
      </w:r>
    </w:p>
    <w:p>
      <w:pPr>
        <w:spacing w:line="0" w:lineRule="atLeast"/>
        <w:jc w:val="center"/>
        <w:rPr>
          <w:rFonts w:eastAsia="方正小标宋_GBK" w:cs="Times New Roman"/>
          <w:kern w:val="0"/>
          <w:sz w:val="44"/>
          <w:szCs w:val="44"/>
        </w:rPr>
      </w:pPr>
      <w:r>
        <w:rPr>
          <w:rFonts w:eastAsia="方正小标宋_GBK" w:cs="Times New Roman"/>
          <w:kern w:val="0"/>
          <w:sz w:val="44"/>
          <w:szCs w:val="44"/>
        </w:rPr>
        <w:t>攻关计划项目申报指南</w:t>
      </w:r>
    </w:p>
    <w:p>
      <w:pPr>
        <w:pStyle w:val="7"/>
        <w:overflowPunct w:val="0"/>
        <w:spacing w:beforeAutospacing="0" w:afterAutospacing="0" w:line="560" w:lineRule="exact"/>
        <w:jc w:val="both"/>
        <w:rPr>
          <w:rFonts w:eastAsia="方正仿宋_GBK"/>
          <w:sz w:val="32"/>
          <w:szCs w:val="32"/>
          <w:shd w:val="clear" w:color="auto" w:fill="FFFFFF"/>
        </w:rPr>
      </w:pP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为深入推进创新驱动核心战略和产业强市主导战略，强化科技自强自立，启动实施江阴“霞客之光”产业自主创新攻关计划项目，瞄准关键核心技术、“卡脖子”技术和进口替代技术，加快攻克一批技术难题，为“产业更高端、创新更澎湃”提供有力的科技支撑。</w:t>
      </w:r>
    </w:p>
    <w:p>
      <w:pPr>
        <w:pStyle w:val="7"/>
        <w:spacing w:beforeAutospacing="0" w:afterAutospacing="0"/>
        <w:ind w:firstLine="632" w:firstLineChars="200"/>
        <w:jc w:val="both"/>
        <w:rPr>
          <w:rFonts w:eastAsia="方正黑体_GBK"/>
          <w:color w:val="000000" w:themeColor="text1"/>
          <w:sz w:val="32"/>
          <w:szCs w:val="30"/>
          <w14:textFill>
            <w14:solidFill>
              <w14:schemeClr w14:val="tx1"/>
            </w14:solidFill>
          </w14:textFill>
        </w:rPr>
      </w:pPr>
      <w:r>
        <w:rPr>
          <w:rFonts w:hint="eastAsia" w:eastAsia="方正黑体_GBK"/>
          <w:color w:val="000000" w:themeColor="text1"/>
          <w:sz w:val="32"/>
          <w:szCs w:val="30"/>
          <w14:textFill>
            <w14:solidFill>
              <w14:schemeClr w14:val="tx1"/>
            </w14:solidFill>
          </w14:textFill>
        </w:rPr>
        <w:t>一、项目组织方式</w:t>
      </w: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江阴“霞客之光”产业自主创新攻关计划项目实行“揭榜挂帅”制度。在前期广泛征集企业技术需求的基础上，围绕我市重点发展的“345”产业主攻方向，经专家评审，遴选发布《江阴“霞客之光”产业自主创新攻关计划项目需求榜单》（见附件1.1）。鼓励支持具有研发能力的市内外高校、科研院所、企业或各类创新平台、团队及其他组织的联合体（关联交易方除外）主动揭榜，经供需对接达成协议后开展研究任务，共同制定项目的可行性方案。由技术需求方—企业作为申报主体，根据申报指南要求进行项目申报。</w:t>
      </w:r>
    </w:p>
    <w:p>
      <w:pPr>
        <w:pStyle w:val="7"/>
        <w:spacing w:beforeAutospacing="0" w:afterAutospacing="0"/>
        <w:ind w:firstLine="632" w:firstLineChars="200"/>
        <w:jc w:val="both"/>
        <w:rPr>
          <w:rFonts w:eastAsia="方正黑体_GBK"/>
          <w:color w:val="000000" w:themeColor="text1"/>
          <w:sz w:val="32"/>
          <w:szCs w:val="30"/>
          <w14:textFill>
            <w14:solidFill>
              <w14:schemeClr w14:val="tx1"/>
            </w14:solidFill>
          </w14:textFill>
        </w:rPr>
      </w:pPr>
      <w:r>
        <w:rPr>
          <w:rFonts w:hint="eastAsia" w:eastAsia="方正黑体_GBK"/>
          <w:color w:val="000000" w:themeColor="text1"/>
          <w:sz w:val="32"/>
          <w:szCs w:val="30"/>
          <w14:textFill>
            <w14:solidFill>
              <w14:schemeClr w14:val="tx1"/>
            </w14:solidFill>
          </w14:textFill>
        </w:rPr>
        <w:t>二、项目类别</w:t>
      </w: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“霞客之光”产业自主创新攻关计划项目分为三类：</w:t>
      </w: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1．重大专项项目（A类）：</w:t>
      </w:r>
      <w:r>
        <w:rPr>
          <w:rFonts w:hint="eastAsia" w:eastAsia="方正仿宋_GBK"/>
          <w:color w:val="000000" w:themeColor="text1"/>
          <w:sz w:val="32"/>
          <w:szCs w:val="30"/>
          <w:lang w:val="en-US" w:eastAsia="zh-CN"/>
          <w14:textFill>
            <w14:solidFill>
              <w14:schemeClr w14:val="tx1"/>
            </w14:solidFill>
          </w14:textFill>
        </w:rPr>
        <w:t>聚焦“</w:t>
      </w:r>
      <w:r>
        <w:rPr>
          <w:rFonts w:hint="eastAsia" w:eastAsia="方正仿宋_GBK"/>
          <w:color w:val="000000" w:themeColor="text1"/>
          <w:sz w:val="32"/>
          <w:szCs w:val="30"/>
          <w14:textFill>
            <w14:solidFill>
              <w14:schemeClr w14:val="tx1"/>
            </w14:solidFill>
          </w14:textFill>
        </w:rPr>
        <w:t>碳达峰、碳中和</w:t>
      </w:r>
      <w:r>
        <w:rPr>
          <w:rFonts w:hint="eastAsia" w:eastAsia="方正仿宋_GBK"/>
          <w:color w:val="000000" w:themeColor="text1"/>
          <w:sz w:val="32"/>
          <w:szCs w:val="30"/>
          <w:lang w:val="en-US" w:eastAsia="zh-CN"/>
          <w14:textFill>
            <w14:solidFill>
              <w14:schemeClr w14:val="tx1"/>
            </w14:solidFill>
          </w14:textFill>
        </w:rPr>
        <w:t>”国家重大战略，</w:t>
      </w:r>
      <w:r>
        <w:rPr>
          <w:rFonts w:hint="eastAsia" w:eastAsia="方正仿宋_GBK"/>
          <w:color w:val="000000" w:themeColor="text1"/>
          <w:sz w:val="32"/>
          <w:szCs w:val="30"/>
          <w14:textFill>
            <w14:solidFill>
              <w14:schemeClr w14:val="tx1"/>
            </w14:solidFill>
          </w14:textFill>
        </w:rPr>
        <w:t>面向</w:t>
      </w:r>
      <w:r>
        <w:rPr>
          <w:rFonts w:hint="eastAsia" w:eastAsia="方正仿宋_GBK"/>
          <w:color w:val="000000" w:themeColor="text1"/>
          <w:sz w:val="32"/>
          <w:szCs w:val="30"/>
          <w:lang w:eastAsia="zh-CN"/>
          <w14:textFill>
            <w14:solidFill>
              <w14:schemeClr w14:val="tx1"/>
            </w14:solidFill>
          </w14:textFill>
        </w:rPr>
        <w:t>“</w:t>
      </w:r>
      <w:r>
        <w:rPr>
          <w:rFonts w:hint="eastAsia" w:eastAsia="方正仿宋_GBK"/>
          <w:color w:val="000000" w:themeColor="text1"/>
          <w:sz w:val="32"/>
          <w:szCs w:val="30"/>
          <w:lang w:val="en-US" w:eastAsia="zh-CN"/>
          <w14:textFill>
            <w14:solidFill>
              <w14:schemeClr w14:val="tx1"/>
            </w14:solidFill>
          </w14:textFill>
        </w:rPr>
        <w:t>双碳</w:t>
      </w:r>
      <w:r>
        <w:rPr>
          <w:rFonts w:hint="eastAsia" w:eastAsia="方正仿宋_GBK"/>
          <w:color w:val="000000" w:themeColor="text1"/>
          <w:sz w:val="32"/>
          <w:szCs w:val="30"/>
          <w:lang w:eastAsia="zh-CN"/>
          <w14:textFill>
            <w14:solidFill>
              <w14:schemeClr w14:val="tx1"/>
            </w14:solidFill>
          </w14:textFill>
        </w:rPr>
        <w:t>”</w:t>
      </w:r>
      <w:r>
        <w:rPr>
          <w:rFonts w:hint="eastAsia" w:eastAsia="方正仿宋_GBK"/>
          <w:color w:val="000000" w:themeColor="text1"/>
          <w:sz w:val="32"/>
          <w:szCs w:val="30"/>
          <w14:textFill>
            <w14:solidFill>
              <w14:schemeClr w14:val="tx1"/>
            </w14:solidFill>
          </w14:textFill>
        </w:rPr>
        <w:t>相关领域，突出需求导向和目标导向，瞄准我市绿色低碳领域的优势支柱产业和重点培育新兴产业重大战略任务和产业“卡脖子”难点，采取政府与龙头骨干企业联合发榜的形式</w:t>
      </w:r>
      <w:r>
        <w:rPr>
          <w:rFonts w:hint="eastAsia" w:eastAsia="方正仿宋_GBK"/>
          <w:color w:val="000000" w:themeColor="text1"/>
          <w:sz w:val="32"/>
          <w:szCs w:val="30"/>
          <w:lang w:eastAsia="zh-CN"/>
          <w14:textFill>
            <w14:solidFill>
              <w14:schemeClr w14:val="tx1"/>
            </w14:solidFill>
          </w14:textFill>
        </w:rPr>
        <w:t>，</w:t>
      </w:r>
      <w:r>
        <w:rPr>
          <w:rFonts w:hint="eastAsia" w:eastAsia="方正仿宋_GBK"/>
          <w:color w:val="000000" w:themeColor="text1"/>
          <w:sz w:val="32"/>
          <w:szCs w:val="30"/>
          <w14:textFill>
            <w14:solidFill>
              <w14:schemeClr w14:val="tx1"/>
            </w14:solidFill>
          </w14:textFill>
        </w:rPr>
        <w:t>重点支持我市绿色低碳转型发展的重大创新需求的“揭榜挂帅”</w:t>
      </w:r>
      <w:r>
        <w:rPr>
          <w:rFonts w:hint="eastAsia" w:eastAsia="方正仿宋_GBK"/>
          <w:color w:val="000000" w:themeColor="text1"/>
          <w:sz w:val="32"/>
          <w:szCs w:val="30"/>
          <w:lang w:eastAsia="zh-CN"/>
          <w14:textFill>
            <w14:solidFill>
              <w14:schemeClr w14:val="tx1"/>
            </w14:solidFill>
          </w14:textFill>
        </w:rPr>
        <w:t>。</w:t>
      </w:r>
      <w:r>
        <w:rPr>
          <w:rFonts w:hint="eastAsia" w:eastAsia="方正仿宋_GBK"/>
          <w:color w:val="000000" w:themeColor="text1"/>
          <w:sz w:val="32"/>
          <w:szCs w:val="30"/>
          <w:lang w:val="en-US" w:eastAsia="zh-CN"/>
          <w14:textFill>
            <w14:solidFill>
              <w14:schemeClr w14:val="tx1"/>
            </w14:solidFill>
          </w14:textFill>
        </w:rPr>
        <w:t>经前期专家评审，遴选审定了4项绿色低碳领域的重大技术需求</w:t>
      </w:r>
      <w:r>
        <w:rPr>
          <w:rFonts w:hint="eastAsia" w:eastAsia="方正仿宋_GBK"/>
          <w:color w:val="000000" w:themeColor="text1"/>
          <w:sz w:val="32"/>
          <w:szCs w:val="30"/>
          <w14:textFill>
            <w14:solidFill>
              <w14:schemeClr w14:val="tx1"/>
            </w14:solidFill>
          </w14:textFill>
        </w:rPr>
        <w:t>（见附件1.2）</w:t>
      </w:r>
      <w:r>
        <w:rPr>
          <w:rFonts w:hint="eastAsia" w:eastAsia="方正仿宋_GBK"/>
          <w:color w:val="000000" w:themeColor="text1"/>
          <w:sz w:val="32"/>
          <w:szCs w:val="30"/>
          <w:lang w:eastAsia="zh-CN"/>
          <w14:textFill>
            <w14:solidFill>
              <w14:schemeClr w14:val="tx1"/>
            </w14:solidFill>
          </w14:textFill>
        </w:rPr>
        <w:t>，</w:t>
      </w:r>
      <w:r>
        <w:rPr>
          <w:rFonts w:hint="eastAsia" w:eastAsia="方正仿宋_GBK"/>
          <w:color w:val="000000" w:themeColor="text1"/>
          <w:sz w:val="32"/>
          <w:szCs w:val="30"/>
          <w:lang w:val="en-US" w:eastAsia="zh-CN"/>
          <w14:textFill>
            <w14:solidFill>
              <w14:schemeClr w14:val="tx1"/>
            </w14:solidFill>
          </w14:textFill>
        </w:rPr>
        <w:t>鼓励支持技术需求方</w:t>
      </w:r>
      <w:r>
        <w:rPr>
          <w:rFonts w:hint="eastAsia" w:eastAsia="方正仿宋_GBK"/>
          <w:color w:val="000000" w:themeColor="text1"/>
          <w:sz w:val="32"/>
          <w:szCs w:val="30"/>
          <w14:textFill>
            <w14:solidFill>
              <w14:schemeClr w14:val="tx1"/>
            </w14:solidFill>
          </w14:textFill>
        </w:rPr>
        <w:t>牵头整合高校院所、应用单位等各类创新资源，组建创新联合体开展协同攻关和项目申报。</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olor w:val="000000" w:themeColor="text1"/>
          <w:szCs w:val="30"/>
          <w14:textFill>
            <w14:solidFill>
              <w14:schemeClr w14:val="tx1"/>
            </w14:solidFill>
          </w14:textFill>
        </w:rPr>
        <w:t>2．成果转化关键技术攻关项目（B类）</w:t>
      </w:r>
      <w:r>
        <w:rPr>
          <w:rFonts w:hint="eastAsia" w:eastAsia="方正仿宋_GBK" w:cs="Times New Roman"/>
          <w:color w:val="000000" w:themeColor="text1"/>
          <w:kern w:val="0"/>
          <w:szCs w:val="30"/>
          <w14:textFill>
            <w14:solidFill>
              <w14:schemeClr w14:val="tx1"/>
            </w14:solidFill>
          </w14:textFill>
        </w:rPr>
        <w:t>：重点支持榜单中符合本次指南方向的（见附件1.2）、科技成果转化阶段的关键核心技术需求的“揭榜挂帅”。</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olor w:val="000000" w:themeColor="text1"/>
          <w:szCs w:val="30"/>
          <w14:textFill>
            <w14:solidFill>
              <w14:schemeClr w14:val="tx1"/>
            </w14:solidFill>
          </w14:textFill>
        </w:rPr>
        <w:t>3．重点研发技术攻关项目（C类）</w:t>
      </w:r>
      <w:r>
        <w:rPr>
          <w:rFonts w:hint="eastAsia" w:eastAsia="方正仿宋_GBK" w:cs="Times New Roman"/>
          <w:color w:val="000000" w:themeColor="text1"/>
          <w:kern w:val="0"/>
          <w:szCs w:val="30"/>
          <w14:textFill>
            <w14:solidFill>
              <w14:schemeClr w14:val="tx1"/>
            </w14:solidFill>
          </w14:textFill>
        </w:rPr>
        <w:t>：重点支持榜单中符合本次指南方向的（见附件1.2）、</w:t>
      </w:r>
      <w:r>
        <w:rPr>
          <w:rFonts w:eastAsia="方正仿宋_GBK"/>
          <w:color w:val="000000" w:themeColor="text1"/>
          <w14:textFill>
            <w14:solidFill>
              <w14:schemeClr w14:val="tx1"/>
            </w14:solidFill>
          </w14:textFill>
        </w:rPr>
        <w:t>对</w:t>
      </w:r>
      <w:r>
        <w:rPr>
          <w:rFonts w:hint="eastAsia" w:eastAsia="方正仿宋_GBK"/>
          <w:color w:val="000000" w:themeColor="text1"/>
          <w14:textFill>
            <w14:solidFill>
              <w14:schemeClr w14:val="tx1"/>
            </w14:solidFill>
          </w14:textFill>
        </w:rPr>
        <w:t>战略性新兴</w:t>
      </w:r>
      <w:r>
        <w:rPr>
          <w:rFonts w:eastAsia="方正仿宋_GBK"/>
          <w:color w:val="000000" w:themeColor="text1"/>
          <w14:textFill>
            <w14:solidFill>
              <w14:schemeClr w14:val="tx1"/>
            </w14:solidFill>
          </w14:textFill>
        </w:rPr>
        <w:t>产业培育具有较强带动性的产业前瞻技术</w:t>
      </w:r>
      <w:r>
        <w:rPr>
          <w:rFonts w:hint="eastAsia" w:eastAsia="方正仿宋_GBK"/>
          <w:color w:val="000000" w:themeColor="text1"/>
          <w14:textFill>
            <w14:solidFill>
              <w14:schemeClr w14:val="tx1"/>
            </w14:solidFill>
          </w14:textFill>
        </w:rPr>
        <w:t>需求和</w:t>
      </w:r>
      <w:r>
        <w:rPr>
          <w:rFonts w:eastAsia="方正仿宋_GBK"/>
          <w:color w:val="000000" w:themeColor="text1"/>
          <w14:textFill>
            <w14:solidFill>
              <w14:schemeClr w14:val="tx1"/>
            </w14:solidFill>
          </w14:textFill>
        </w:rPr>
        <w:t>高</w:t>
      </w:r>
      <w:r>
        <w:rPr>
          <w:rFonts w:hint="eastAsia" w:eastAsia="方正仿宋_GBK"/>
          <w:color w:val="000000" w:themeColor="text1"/>
          <w14:textFill>
            <w14:solidFill>
              <w14:schemeClr w14:val="tx1"/>
            </w14:solidFill>
          </w14:textFill>
        </w:rPr>
        <w:t>新</w:t>
      </w:r>
      <w:r>
        <w:rPr>
          <w:rFonts w:eastAsia="方正仿宋_GBK"/>
          <w:color w:val="000000" w:themeColor="text1"/>
          <w14:textFill>
            <w14:solidFill>
              <w14:schemeClr w14:val="tx1"/>
            </w14:solidFill>
          </w14:textFill>
        </w:rPr>
        <w:t>技术优势产业发展所需的关键</w:t>
      </w:r>
      <w:r>
        <w:rPr>
          <w:rFonts w:hint="eastAsia" w:eastAsia="方正仿宋_GBK"/>
          <w:color w:val="000000" w:themeColor="text1"/>
          <w14:textFill>
            <w14:solidFill>
              <w14:schemeClr w14:val="tx1"/>
            </w14:solidFill>
          </w14:textFill>
        </w:rPr>
        <w:t>核心</w:t>
      </w:r>
      <w:r>
        <w:rPr>
          <w:rFonts w:eastAsia="方正仿宋_GBK"/>
          <w:color w:val="000000" w:themeColor="text1"/>
          <w14:textFill>
            <w14:solidFill>
              <w14:schemeClr w14:val="tx1"/>
            </w14:solidFill>
          </w14:textFill>
        </w:rPr>
        <w:t>技术</w:t>
      </w:r>
      <w:r>
        <w:rPr>
          <w:rFonts w:hint="eastAsia" w:eastAsia="方正仿宋_GBK" w:cs="Times New Roman"/>
          <w:color w:val="000000" w:themeColor="text1"/>
          <w:kern w:val="0"/>
          <w:szCs w:val="30"/>
          <w14:textFill>
            <w14:solidFill>
              <w14:schemeClr w14:val="tx1"/>
            </w14:solidFill>
          </w14:textFill>
        </w:rPr>
        <w:t>需求的“揭榜挂帅”。</w:t>
      </w:r>
    </w:p>
    <w:p>
      <w:pPr>
        <w:numPr>
          <w:ilvl w:val="0"/>
          <w:numId w:val="1"/>
        </w:numPr>
        <w:ind w:firstLine="632" w:firstLineChars="200"/>
        <w:rPr>
          <w:rFonts w:eastAsia="方正黑体_GBK" w:cs="Times New Roman"/>
          <w:color w:val="000000" w:themeColor="text1"/>
          <w:kern w:val="0"/>
          <w:szCs w:val="30"/>
          <w14:textFill>
            <w14:solidFill>
              <w14:schemeClr w14:val="tx1"/>
            </w14:solidFill>
          </w14:textFill>
        </w:rPr>
      </w:pPr>
      <w:r>
        <w:rPr>
          <w:rFonts w:hint="eastAsia" w:eastAsia="方正黑体_GBK" w:cs="Times New Roman"/>
          <w:color w:val="000000" w:themeColor="text1"/>
          <w:kern w:val="0"/>
          <w:szCs w:val="30"/>
          <w14:textFill>
            <w14:solidFill>
              <w14:schemeClr w14:val="tx1"/>
            </w14:solidFill>
          </w14:textFill>
        </w:rPr>
        <w:t>支持政策</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2"/>
          <w14:textFill>
            <w14:solidFill>
              <w14:schemeClr w14:val="tx1"/>
            </w14:solidFill>
          </w14:textFill>
        </w:rPr>
        <w:t>经评审立项，A类</w:t>
      </w:r>
      <w:r>
        <w:rPr>
          <w:rFonts w:eastAsia="方正仿宋_GBK" w:cs="Times New Roman"/>
          <w:color w:val="000000" w:themeColor="text1"/>
          <w:kern w:val="0"/>
          <w:szCs w:val="32"/>
          <w14:textFill>
            <w14:solidFill>
              <w14:schemeClr w14:val="tx1"/>
            </w14:solidFill>
          </w14:textFill>
        </w:rPr>
        <w:t>项目的政府财政资助不超过项目新增总投入的30%，</w:t>
      </w:r>
      <w:r>
        <w:rPr>
          <w:rFonts w:hint="eastAsia" w:eastAsia="方正仿宋_GBK" w:cs="Times New Roman"/>
          <w:color w:val="000000" w:themeColor="text1"/>
          <w:kern w:val="0"/>
          <w:szCs w:val="32"/>
          <w:lang w:val="en-US" w:eastAsia="zh-CN"/>
          <w14:textFill>
            <w14:solidFill>
              <w14:schemeClr w14:val="tx1"/>
            </w14:solidFill>
          </w14:textFill>
        </w:rPr>
        <w:t>以分期拨款的形式，</w:t>
      </w:r>
      <w:r>
        <w:rPr>
          <w:rFonts w:eastAsia="方正仿宋_GBK" w:cs="Times New Roman"/>
          <w:color w:val="000000" w:themeColor="text1"/>
          <w:kern w:val="0"/>
          <w:szCs w:val="32"/>
          <w14:textFill>
            <w14:solidFill>
              <w14:schemeClr w14:val="tx1"/>
            </w14:solidFill>
          </w14:textFill>
        </w:rPr>
        <w:t>单个项目</w:t>
      </w:r>
      <w:r>
        <w:rPr>
          <w:rFonts w:hint="eastAsia" w:eastAsia="方正仿宋_GBK" w:cs="Times New Roman"/>
          <w:color w:val="000000" w:themeColor="text1"/>
          <w:kern w:val="0"/>
          <w:szCs w:val="32"/>
          <w14:textFill>
            <w14:solidFill>
              <w14:schemeClr w14:val="tx1"/>
            </w14:solidFill>
          </w14:textFill>
        </w:rPr>
        <w:t>给予</w:t>
      </w:r>
      <w:r>
        <w:rPr>
          <w:rFonts w:eastAsia="方正仿宋_GBK" w:cs="Times New Roman"/>
          <w:color w:val="000000" w:themeColor="text1"/>
          <w:kern w:val="0"/>
          <w:szCs w:val="32"/>
          <w14:textFill>
            <w14:solidFill>
              <w14:schemeClr w14:val="tx1"/>
            </w14:solidFill>
          </w14:textFill>
        </w:rPr>
        <w:t>最高1000万元</w:t>
      </w:r>
      <w:r>
        <w:rPr>
          <w:rFonts w:hint="eastAsia" w:eastAsia="方正仿宋_GBK" w:cs="Times New Roman"/>
          <w:color w:val="000000" w:themeColor="text1"/>
          <w:kern w:val="0"/>
          <w:szCs w:val="30"/>
          <w14:textFill>
            <w14:solidFill>
              <w14:schemeClr w14:val="tx1"/>
            </w14:solidFill>
          </w14:textFill>
        </w:rPr>
        <w:t>；B类项目的政府财政资助不超过项目新增总投入的20%，</w:t>
      </w:r>
      <w:r>
        <w:rPr>
          <w:rFonts w:hint="eastAsia" w:eastAsia="方正仿宋_GBK" w:cs="Times New Roman"/>
          <w:color w:val="000000" w:themeColor="text1"/>
          <w:kern w:val="0"/>
          <w:szCs w:val="32"/>
          <w:lang w:val="en-US" w:eastAsia="zh-CN"/>
          <w14:textFill>
            <w14:solidFill>
              <w14:schemeClr w14:val="tx1"/>
            </w14:solidFill>
          </w14:textFill>
        </w:rPr>
        <w:t>以分期拨款的形式，</w:t>
      </w:r>
      <w:r>
        <w:rPr>
          <w:rFonts w:hint="eastAsia" w:eastAsia="方正仿宋_GBK" w:cs="Times New Roman"/>
          <w:color w:val="000000" w:themeColor="text1"/>
          <w:kern w:val="0"/>
          <w:szCs w:val="30"/>
          <w14:textFill>
            <w14:solidFill>
              <w14:schemeClr w14:val="tx1"/>
            </w14:solidFill>
          </w14:textFill>
        </w:rPr>
        <w:t>单个项目</w:t>
      </w:r>
      <w:r>
        <w:rPr>
          <w:rFonts w:hint="eastAsia" w:eastAsia="方正仿宋_GBK" w:cs="Times New Roman"/>
          <w:color w:val="000000" w:themeColor="text1"/>
          <w:kern w:val="0"/>
          <w:szCs w:val="32"/>
          <w14:textFill>
            <w14:solidFill>
              <w14:schemeClr w14:val="tx1"/>
            </w14:solidFill>
          </w14:textFill>
        </w:rPr>
        <w:t>给予</w:t>
      </w:r>
      <w:r>
        <w:rPr>
          <w:rFonts w:hint="eastAsia" w:eastAsia="方正仿宋_GBK" w:cs="Times New Roman"/>
          <w:color w:val="000000" w:themeColor="text1"/>
          <w:kern w:val="0"/>
          <w:szCs w:val="30"/>
          <w14:textFill>
            <w14:solidFill>
              <w14:schemeClr w14:val="tx1"/>
            </w14:solidFill>
          </w14:textFill>
        </w:rPr>
        <w:t>最高200万元；C类项目的政府财政资助不超过项目新增总投入的30%，</w:t>
      </w:r>
      <w:r>
        <w:rPr>
          <w:rFonts w:hint="eastAsia" w:eastAsia="方正仿宋_GBK" w:cs="Times New Roman"/>
          <w:color w:val="000000" w:themeColor="text1"/>
          <w:kern w:val="0"/>
          <w:szCs w:val="32"/>
          <w:lang w:val="en-US" w:eastAsia="zh-CN"/>
          <w14:textFill>
            <w14:solidFill>
              <w14:schemeClr w14:val="tx1"/>
            </w14:solidFill>
          </w14:textFill>
        </w:rPr>
        <w:t>以分期拨款的形式，</w:t>
      </w:r>
      <w:r>
        <w:rPr>
          <w:rFonts w:hint="eastAsia" w:eastAsia="方正仿宋_GBK" w:cs="Times New Roman"/>
          <w:color w:val="000000" w:themeColor="text1"/>
          <w:kern w:val="0"/>
          <w:szCs w:val="30"/>
          <w14:textFill>
            <w14:solidFill>
              <w14:schemeClr w14:val="tx1"/>
            </w14:solidFill>
          </w14:textFill>
        </w:rPr>
        <w:t>单个项目</w:t>
      </w:r>
      <w:r>
        <w:rPr>
          <w:rFonts w:hint="eastAsia" w:eastAsia="方正仿宋_GBK" w:cs="Times New Roman"/>
          <w:color w:val="000000" w:themeColor="text1"/>
          <w:kern w:val="0"/>
          <w:szCs w:val="32"/>
          <w14:textFill>
            <w14:solidFill>
              <w14:schemeClr w14:val="tx1"/>
            </w14:solidFill>
          </w14:textFill>
        </w:rPr>
        <w:t>给予</w:t>
      </w:r>
      <w:r>
        <w:rPr>
          <w:rFonts w:hint="eastAsia" w:eastAsia="方正仿宋_GBK" w:cs="Times New Roman"/>
          <w:color w:val="000000" w:themeColor="text1"/>
          <w:kern w:val="0"/>
          <w:szCs w:val="30"/>
          <w14:textFill>
            <w14:solidFill>
              <w14:schemeClr w14:val="tx1"/>
            </w14:solidFill>
          </w14:textFill>
        </w:rPr>
        <w:t>最高50万元。</w:t>
      </w:r>
    </w:p>
    <w:p>
      <w:pPr>
        <w:pStyle w:val="7"/>
        <w:spacing w:beforeAutospacing="0" w:afterAutospacing="0"/>
        <w:ind w:firstLine="632" w:firstLineChars="200"/>
        <w:jc w:val="both"/>
        <w:rPr>
          <w:rFonts w:eastAsia="方正黑体_GBK"/>
          <w:color w:val="000000" w:themeColor="text1"/>
          <w:sz w:val="32"/>
          <w:szCs w:val="30"/>
          <w14:textFill>
            <w14:solidFill>
              <w14:schemeClr w14:val="tx1"/>
            </w14:solidFill>
          </w14:textFill>
        </w:rPr>
      </w:pPr>
      <w:r>
        <w:rPr>
          <w:rFonts w:hint="eastAsia" w:eastAsia="方正黑体_GBK"/>
          <w:color w:val="000000" w:themeColor="text1"/>
          <w:sz w:val="32"/>
          <w:szCs w:val="30"/>
          <w14:textFill>
            <w14:solidFill>
              <w14:schemeClr w14:val="tx1"/>
            </w14:solidFill>
          </w14:textFill>
        </w:rPr>
        <w:t>四、申报基本条件</w:t>
      </w:r>
    </w:p>
    <w:p>
      <w:pPr>
        <w:ind w:firstLine="632" w:firstLineChars="200"/>
        <w:rPr>
          <w:rFonts w:eastAsia="方正楷体_GBK" w:cs="Times New Roman"/>
          <w:color w:val="000000" w:themeColor="text1"/>
          <w:kern w:val="0"/>
          <w:szCs w:val="30"/>
          <w14:textFill>
            <w14:solidFill>
              <w14:schemeClr w14:val="tx1"/>
            </w14:solidFill>
          </w14:textFill>
        </w:rPr>
      </w:pPr>
      <w:r>
        <w:rPr>
          <w:rFonts w:hint="eastAsia" w:eastAsia="方正楷体_GBK" w:cs="Times New Roman"/>
          <w:color w:val="000000" w:themeColor="text1"/>
          <w:kern w:val="0"/>
          <w:szCs w:val="30"/>
          <w14:textFill>
            <w14:solidFill>
              <w14:schemeClr w14:val="tx1"/>
            </w14:solidFill>
          </w14:textFill>
        </w:rPr>
        <w:t>（一）申报企业的基本条件</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1．申报企业应是2021年1月1日前在江阴市</w:t>
      </w:r>
      <w:r>
        <w:rPr>
          <w:rFonts w:hint="eastAsia" w:eastAsia="方正仿宋_GBK" w:cs="Times New Roman"/>
          <w:color w:val="000000" w:themeColor="text1"/>
          <w:kern w:val="0"/>
          <w:szCs w:val="30"/>
          <w:lang w:eastAsia="zh-CN"/>
          <w14:textFill>
            <w14:solidFill>
              <w14:schemeClr w14:val="tx1"/>
            </w14:solidFill>
          </w14:textFill>
        </w:rPr>
        <w:t>（</w:t>
      </w:r>
      <w:r>
        <w:rPr>
          <w:rFonts w:hint="eastAsia" w:eastAsia="方正仿宋_GBK" w:cs="Times New Roman"/>
          <w:color w:val="000000" w:themeColor="text1"/>
          <w:kern w:val="0"/>
          <w:szCs w:val="30"/>
          <w:lang w:val="en-US" w:eastAsia="zh-CN"/>
          <w14:textFill>
            <w14:solidFill>
              <w14:schemeClr w14:val="tx1"/>
            </w14:solidFill>
          </w14:textFill>
        </w:rPr>
        <w:t>含靖江园区</w:t>
      </w:r>
      <w:r>
        <w:rPr>
          <w:rFonts w:hint="eastAsia" w:eastAsia="方正仿宋_GBK" w:cs="Times New Roman"/>
          <w:color w:val="000000" w:themeColor="text1"/>
          <w:kern w:val="0"/>
          <w:szCs w:val="30"/>
          <w:lang w:eastAsia="zh-CN"/>
          <w14:textFill>
            <w14:solidFill>
              <w14:schemeClr w14:val="tx1"/>
            </w14:solidFill>
          </w14:textFill>
        </w:rPr>
        <w:t>）</w:t>
      </w:r>
      <w:r>
        <w:rPr>
          <w:rFonts w:hint="eastAsia" w:eastAsia="方正仿宋_GBK" w:cs="Times New Roman"/>
          <w:color w:val="000000" w:themeColor="text1"/>
          <w:kern w:val="0"/>
          <w:szCs w:val="30"/>
          <w:lang w:val="en-US" w:eastAsia="zh-CN"/>
          <w14:textFill>
            <w14:solidFill>
              <w14:schemeClr w14:val="tx1"/>
            </w14:solidFill>
          </w14:textFill>
        </w:rPr>
        <w:t>登记注册</w:t>
      </w:r>
      <w:r>
        <w:rPr>
          <w:rFonts w:hint="eastAsia" w:eastAsia="方正仿宋_GBK" w:cs="Times New Roman"/>
          <w:color w:val="000000" w:themeColor="text1"/>
          <w:kern w:val="0"/>
          <w:szCs w:val="30"/>
          <w14:textFill>
            <w14:solidFill>
              <w14:schemeClr w14:val="tx1"/>
            </w14:solidFill>
          </w14:textFill>
        </w:rPr>
        <w:t>的独立法人企业。</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2．申报企业应具备良好的研究开发能力和产业化条件，上年度研发投入占销售收入的比重达到3%以上。</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3．申报企业必须是高新技术企业且建有研发机构。</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4．申报项目负责人及团队具有较高的学术水平和创新能力，须拥有高级技术职称人员1名以上（含1名）。</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5．申报的企业资产及经营状态良好，具有较强的资金筹措能力，申报A类和B类项目的企业上年度销售收入在2000万元以上，申报C类项目的企业上年度销售收入在800万元以上。</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6</w:t>
      </w:r>
      <w:r>
        <w:rPr>
          <w:rFonts w:hint="eastAsia" w:eastAsia="方正仿宋_GBK"/>
          <w:color w:val="000000" w:themeColor="text1"/>
          <w:szCs w:val="32"/>
          <w14:textFill>
            <w14:solidFill>
              <w14:schemeClr w14:val="tx1"/>
            </w14:solidFill>
          </w14:textFill>
        </w:rPr>
        <w:t>．申报企业具备必需的基础条件和资金配套能力，财务管理制度健全，建立完整的研发费辅助账制度，项目单独建账、独立核算。属于规上工业企业的，须同时做好统计填报工作。</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7．重点支持拥有省级以上研发机构的企业，优先支持获得国家级、省级认定的重大科技成果进行转化。</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8．一个企业限报一个本专项资金项目。除申报A类项目的企业外，有江阴市科技创新专项资金在研项目的企业原则上不得申报本专项资金项目。</w:t>
      </w:r>
    </w:p>
    <w:p>
      <w:pPr>
        <w:ind w:firstLine="632" w:firstLineChars="200"/>
        <w:rPr>
          <w:rFonts w:eastAsia="方正楷体_GBK" w:cs="Times New Roman"/>
          <w:color w:val="000000" w:themeColor="text1"/>
          <w:kern w:val="0"/>
          <w:szCs w:val="30"/>
          <w14:textFill>
            <w14:solidFill>
              <w14:schemeClr w14:val="tx1"/>
            </w14:solidFill>
          </w14:textFill>
        </w:rPr>
      </w:pPr>
      <w:r>
        <w:rPr>
          <w:rFonts w:hint="eastAsia" w:eastAsia="方正楷体_GBK" w:cs="Times New Roman"/>
          <w:color w:val="000000" w:themeColor="text1"/>
          <w:kern w:val="0"/>
          <w:szCs w:val="30"/>
          <w14:textFill>
            <w14:solidFill>
              <w14:schemeClr w14:val="tx1"/>
            </w14:solidFill>
          </w14:textFill>
        </w:rPr>
        <w:t>（二）申报A类、B类项目的基本条件</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1．项目符合本计划定位要求，有一定技术成熟度，项目有明确的研发任务和创新目标，符合国家、省和我市的产业技术政策，符合本年度</w:t>
      </w:r>
      <w:r>
        <w:rPr>
          <w:rFonts w:hint="eastAsia" w:eastAsia="方正仿宋_GBK" w:cs="Times New Roman"/>
          <w:color w:val="000000" w:themeColor="text1"/>
          <w:kern w:val="0"/>
          <w:szCs w:val="30"/>
          <w:lang w:val="en-US" w:eastAsia="zh-CN"/>
          <w14:textFill>
            <w14:solidFill>
              <w14:schemeClr w14:val="tx1"/>
            </w14:solidFill>
          </w14:textFill>
        </w:rPr>
        <w:t>指南</w:t>
      </w:r>
      <w:r>
        <w:rPr>
          <w:rFonts w:hint="eastAsia" w:eastAsia="方正仿宋_GBK" w:cs="Times New Roman"/>
          <w:color w:val="000000" w:themeColor="text1"/>
          <w:kern w:val="0"/>
          <w:szCs w:val="30"/>
          <w14:textFill>
            <w14:solidFill>
              <w14:schemeClr w14:val="tx1"/>
            </w14:solidFill>
          </w14:textFill>
        </w:rPr>
        <w:t>支持领域和方向。对符合本年度江苏省成果转化专项资金项目指南领域要求并参与申报省成果转化专项资金项目的企业重点支持。</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2．项目拥有与其核心技术相关的有效发明专利等形式的自主知识产权，创新水平处于国内领先或国际先进。</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3．项目有明确的目标产品，且有较好的市场前景，项目完成后能够形成产品批量生产销售。</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4．项目实施期内企业新增项目总投入不低于500万元，新增销售收入不低于2000万元，并且实现盈利。</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5．A类项目的实施期限为3年； B类项目的实施期限为2年，新药类项目可适当放宽。</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6．项目名称须科学规范，其中应包含技术创新的核心点和目标产品，用“XXX研发及产业化”作为后缀，字数不宜过长或过短，一般控制在15—25个字。</w:t>
      </w:r>
    </w:p>
    <w:p>
      <w:pPr>
        <w:ind w:firstLine="632" w:firstLineChars="200"/>
        <w:rPr>
          <w:rFonts w:eastAsia="方正楷体_GBK" w:cs="Times New Roman"/>
          <w:color w:val="000000" w:themeColor="text1"/>
          <w:kern w:val="0"/>
          <w:szCs w:val="30"/>
          <w14:textFill>
            <w14:solidFill>
              <w14:schemeClr w14:val="tx1"/>
            </w14:solidFill>
          </w14:textFill>
        </w:rPr>
      </w:pPr>
      <w:r>
        <w:rPr>
          <w:rFonts w:hint="eastAsia" w:eastAsia="方正楷体_GBK" w:cs="Times New Roman"/>
          <w:color w:val="000000" w:themeColor="text1"/>
          <w:kern w:val="0"/>
          <w:szCs w:val="30"/>
          <w14:textFill>
            <w14:solidFill>
              <w14:schemeClr w14:val="tx1"/>
            </w14:solidFill>
          </w14:textFill>
        </w:rPr>
        <w:t>（三）申报C类项目的基本条件</w:t>
      </w: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1．项目符合本计划定位要求，属于年度指南支持的领域和方向，申报项目拥有授权或经受理的发明专利或授权的实用新型专利、软件著作权等自主知识产权。项目创新水平居国内前列，目标产品具有战略性和产业带动性。</w:t>
      </w: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2．项目成果具有自主知识产权和可预见的产业化应用前景，成果形式以样品、样机或小批量生产为主。项目完成时须有新申报的专利授权或发明专利通过实审。</w:t>
      </w: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3．申报项目的实施期限为2年，新药类项目可适当放宽。项目第一负责人原则上应为第一申报单位的在职人员。</w:t>
      </w:r>
    </w:p>
    <w:p>
      <w:pPr>
        <w:pStyle w:val="7"/>
        <w:spacing w:beforeAutospacing="0" w:afterAutospacing="0"/>
        <w:ind w:firstLine="632" w:firstLineChars="200"/>
        <w:jc w:val="both"/>
        <w:rPr>
          <w:rFonts w:eastAsia="方正仿宋_GBK"/>
          <w:color w:val="000000" w:themeColor="text1"/>
          <w:sz w:val="32"/>
          <w:szCs w:val="30"/>
          <w14:textFill>
            <w14:solidFill>
              <w14:schemeClr w14:val="tx1"/>
            </w14:solidFill>
          </w14:textFill>
        </w:rPr>
      </w:pPr>
      <w:r>
        <w:rPr>
          <w:rFonts w:hint="eastAsia" w:eastAsia="方正仿宋_GBK"/>
          <w:color w:val="000000" w:themeColor="text1"/>
          <w:sz w:val="32"/>
          <w:szCs w:val="30"/>
          <w14:textFill>
            <w14:solidFill>
              <w14:schemeClr w14:val="tx1"/>
            </w14:solidFill>
          </w14:textFill>
        </w:rPr>
        <w:t>4．项目名称须科学规范，能够体现攻关的技术创新点或解决的关键核心问题，用“XXX研发”作为后缀，字数不宜过长或过短，一般控制在15-25个字。</w:t>
      </w:r>
    </w:p>
    <w:p>
      <w:pPr>
        <w:pStyle w:val="7"/>
        <w:spacing w:beforeAutospacing="0" w:afterAutospacing="0"/>
        <w:ind w:firstLine="632" w:firstLineChars="200"/>
        <w:jc w:val="both"/>
        <w:rPr>
          <w:rFonts w:eastAsia="方正黑体_GBK"/>
          <w:color w:val="000000" w:themeColor="text1"/>
          <w:sz w:val="32"/>
          <w:szCs w:val="30"/>
          <w14:textFill>
            <w14:solidFill>
              <w14:schemeClr w14:val="tx1"/>
            </w14:solidFill>
          </w14:textFill>
        </w:rPr>
      </w:pPr>
      <w:r>
        <w:rPr>
          <w:rFonts w:hint="eastAsia" w:eastAsia="方正黑体_GBK"/>
          <w:color w:val="000000" w:themeColor="text1"/>
          <w:sz w:val="32"/>
          <w:szCs w:val="30"/>
          <w14:textFill>
            <w14:solidFill>
              <w14:schemeClr w14:val="tx1"/>
            </w14:solidFill>
          </w14:textFill>
        </w:rPr>
        <w:t>五、申报材料要求</w:t>
      </w:r>
    </w:p>
    <w:p>
      <w:pPr>
        <w:ind w:firstLine="620" w:firstLineChars="200"/>
        <w:rPr>
          <w:rFonts w:eastAsia="方正仿宋_GBK" w:cs="Times New Roman"/>
          <w:color w:val="000000" w:themeColor="text1"/>
          <w:spacing w:val="-3"/>
          <w:kern w:val="0"/>
          <w:szCs w:val="30"/>
          <w14:textFill>
            <w14:solidFill>
              <w14:schemeClr w14:val="tx1"/>
            </w14:solidFill>
          </w14:textFill>
        </w:rPr>
      </w:pPr>
      <w:r>
        <w:rPr>
          <w:rFonts w:hint="eastAsia" w:eastAsia="方正仿宋_GBK" w:cs="Times New Roman"/>
          <w:color w:val="000000" w:themeColor="text1"/>
          <w:spacing w:val="-3"/>
          <w:kern w:val="0"/>
          <w:szCs w:val="30"/>
          <w14:textFill>
            <w14:solidFill>
              <w14:schemeClr w14:val="tx1"/>
            </w14:solidFill>
          </w14:textFill>
        </w:rPr>
        <w:t>（一）江阴市科技创新专项（“霞客之光”产业自主创新攻关计划项目）资金申请书（在江阴市财政资金支持项目申报服务平台填报后打印生成，填报网址：http://221.228.70. 22:9090/egrantweb/）。</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（二）证明材料及其他佐证材料复印件：</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1．通过年检的最新企业营业执照（港、澳、台商投资企业、外商投资企业应提供注册批件，中外合资企业应提供相应的批准证书及股份构成文件）；</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2．法人代表证明或法人代表委托书；</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3．《江阴“霞客之光”产业自主创新攻关计划技术需求项目信息表》，需企业盖章；</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4．技术需求方</w:t>
      </w:r>
      <w:r>
        <w:rPr>
          <w:rFonts w:hint="eastAsia" w:eastAsia="方正仿宋_GBK" w:cs="Times New Roman"/>
          <w:color w:val="000000" w:themeColor="text1"/>
          <w:kern w:val="0"/>
          <w:szCs w:val="30"/>
          <w:lang w:val="en-US" w:eastAsia="zh-CN"/>
          <w14:textFill>
            <w14:solidFill>
              <w14:schemeClr w14:val="tx1"/>
            </w14:solidFill>
          </w14:textFill>
        </w:rPr>
        <w:t>和</w:t>
      </w:r>
      <w:r>
        <w:rPr>
          <w:rFonts w:hint="eastAsia" w:eastAsia="方正仿宋_GBK" w:cs="Times New Roman"/>
          <w:color w:val="000000" w:themeColor="text1"/>
          <w:kern w:val="0"/>
          <w:szCs w:val="30"/>
          <w14:textFill>
            <w14:solidFill>
              <w14:schemeClr w14:val="tx1"/>
            </w14:solidFill>
          </w14:textFill>
        </w:rPr>
        <w:t>揭榜方签订的项目共同攻关的技术开发合同；</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5．项目相关的技术权益证明，包括专利证书及</w:t>
      </w:r>
      <w:r>
        <w:rPr>
          <w:rFonts w:hint="eastAsia" w:eastAsia="方正仿宋_GBK"/>
          <w:color w:val="000000" w:themeColor="text1"/>
          <w:szCs w:val="24"/>
          <w14:textFill>
            <w14:solidFill>
              <w14:schemeClr w14:val="tx1"/>
            </w14:solidFill>
          </w14:textFill>
        </w:rPr>
        <w:fldChar w:fldCharType="begin"/>
      </w:r>
      <w:r>
        <w:rPr>
          <w:rFonts w:eastAsia="方正仿宋_GBK"/>
          <w:color w:val="000000" w:themeColor="text1"/>
          <w14:textFill>
            <w14:solidFill>
              <w14:schemeClr w14:val="tx1"/>
            </w14:solidFill>
          </w14:textFill>
        </w:rPr>
        <w:instrText xml:space="preserve"> HYPERLINK "http://baike.sogou.com/lemma/ShowInnerLink.htm?lemmaId=63188601&amp;ss_c=ssc.citiao.link" \t "_blank"</w:instrText>
      </w:r>
      <w:r>
        <w:rPr>
          <w:rFonts w:hint="eastAsia" w:eastAsia="方正仿宋_GBK"/>
          <w:color w:val="000000" w:themeColor="text1"/>
          <w:szCs w:val="24"/>
          <w14:textFill>
            <w14:solidFill>
              <w14:schemeClr w14:val="tx1"/>
            </w14:solidFill>
          </w14:textFill>
        </w:rPr>
        <w:fldChar w:fldCharType="separate"/>
      </w:r>
      <w:r>
        <w:rPr>
          <w:rFonts w:hint="eastAsia" w:eastAsia="方正仿宋_GBK" w:cs="Times New Roman"/>
          <w:color w:val="000000" w:themeColor="text1"/>
          <w:kern w:val="0"/>
          <w:szCs w:val="30"/>
          <w14:textFill>
            <w14:solidFill>
              <w14:schemeClr w14:val="tx1"/>
            </w14:solidFill>
          </w14:textFill>
        </w:rPr>
        <w:t>专利缴费</w:t>
      </w:r>
      <w:r>
        <w:rPr>
          <w:rFonts w:hint="eastAsia" w:eastAsia="方正仿宋_GBK" w:cs="Times New Roman"/>
          <w:color w:val="000000" w:themeColor="text1"/>
          <w:kern w:val="0"/>
          <w:szCs w:val="30"/>
          <w14:textFill>
            <w14:solidFill>
              <w14:schemeClr w14:val="tx1"/>
            </w14:solidFill>
          </w14:textFill>
        </w:rPr>
        <w:fldChar w:fldCharType="end"/>
      </w:r>
      <w:r>
        <w:rPr>
          <w:rFonts w:hint="eastAsia" w:eastAsia="方正仿宋_GBK" w:cs="Times New Roman"/>
          <w:color w:val="000000" w:themeColor="text1"/>
          <w:kern w:val="0"/>
          <w:szCs w:val="30"/>
          <w14:textFill>
            <w14:solidFill>
              <w14:schemeClr w14:val="tx1"/>
            </w14:solidFill>
          </w14:textFill>
        </w:rPr>
        <w:t>凭证、科技成果鉴定证书、科技奖励证书、项目验收证书以及获得国家、省级计划立项批文等相关材料；授权专利或已公开的专利申请的公告说明书第1页、权利要求页、附图代表页，未公开的发明专利申请的申请受理通知书、专利请求书、权利要求书，软件著作权登记证书等；</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6．有审批要求的，如：新药、医疗器械、医用材料、诊断试剂、动植物新品种、化肥、通讯设备、压力容器、食品等，必须附相应的批准和生产许可证明文件；涉及环境评价的项目，须提供权威部门的环境评价报告；涉及实验动物或动物实验的申报项目，应提供实验动物许可证或委托实验证明、实验动物从业人员上岗证书复印件；</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7．企业最近两年度经审计的会计报表，包括资产负债表、利润及利润分配表、现金流量表等；企业自筹能力的其他相关证明文件，如开户行资信证明、集团公司的财务状况证明、股东增资协议等；近两年经税务部门盖章确认的增值税（营业税）和所得税年度申报表（C类项目不需要提供）；</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8．资金筹措中涉及银行贷款，应提供相关证明材料；资金筹措中涉及风险投资，应提供与创业投资公司签订的投资协议；</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9．有关产品的第三方权威检验、检测报告、重要用户报告、科技查新报告等；高新技术企业证书、创新型企业证书、落实科技减免税政策证明等反映企业开发、生产、经营状况的重要材料。</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10．其他需要提供的证明材料。</w:t>
      </w:r>
    </w:p>
    <w:p>
      <w:pPr>
        <w:ind w:firstLine="632" w:firstLineChars="200"/>
        <w:rPr>
          <w:rFonts w:eastAsia="方正黑体_GBK" w:cs="Times New Roman"/>
          <w:color w:val="000000" w:themeColor="text1"/>
          <w:kern w:val="0"/>
          <w:szCs w:val="30"/>
          <w14:textFill>
            <w14:solidFill>
              <w14:schemeClr w14:val="tx1"/>
            </w14:solidFill>
          </w14:textFill>
        </w:rPr>
      </w:pPr>
      <w:r>
        <w:rPr>
          <w:rFonts w:hint="eastAsia" w:eastAsia="方正黑体_GBK" w:cs="Times New Roman"/>
          <w:color w:val="000000" w:themeColor="text1"/>
          <w:kern w:val="0"/>
          <w:szCs w:val="30"/>
          <w14:textFill>
            <w14:solidFill>
              <w14:schemeClr w14:val="tx1"/>
            </w14:solidFill>
          </w14:textFill>
        </w:rPr>
        <w:t>六、联系方式</w:t>
      </w:r>
    </w:p>
    <w:p>
      <w:pPr>
        <w:ind w:firstLine="632" w:firstLineChars="200"/>
        <w:rPr>
          <w:rFonts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A、B类项目联系人：江阴市科技局成果科</w:t>
      </w:r>
      <w:r>
        <w:rPr>
          <w:rFonts w:hint="eastAsia" w:eastAsia="方正仿宋_GBK" w:cs="Times New Roman"/>
          <w:color w:val="000000" w:themeColor="text1"/>
          <w:kern w:val="0"/>
          <w:szCs w:val="30"/>
          <w:lang w:val="en-US" w:eastAsia="zh-CN"/>
          <w14:textFill>
            <w14:solidFill>
              <w14:schemeClr w14:val="tx1"/>
            </w14:solidFill>
          </w14:textFill>
        </w:rPr>
        <w:t xml:space="preserve"> </w:t>
      </w:r>
      <w:r>
        <w:rPr>
          <w:rFonts w:hint="eastAsia" w:eastAsia="方正仿宋_GBK" w:cs="Times New Roman"/>
          <w:color w:val="000000" w:themeColor="text1"/>
          <w:kern w:val="0"/>
          <w:szCs w:val="30"/>
          <w14:textFill>
            <w14:solidFill>
              <w14:schemeClr w14:val="tx1"/>
            </w14:solidFill>
          </w14:textFill>
        </w:rPr>
        <w:t>周京利</w:t>
      </w:r>
      <w:r>
        <w:rPr>
          <w:rFonts w:hint="eastAsia" w:eastAsia="方正仿宋_GBK" w:cs="Times New Roman"/>
          <w:color w:val="000000" w:themeColor="text1"/>
          <w:kern w:val="0"/>
          <w:szCs w:val="30"/>
          <w:lang w:val="en-US" w:eastAsia="zh-CN"/>
          <w14:textFill>
            <w14:solidFill>
              <w14:schemeClr w14:val="tx1"/>
            </w14:solidFill>
          </w14:textFill>
        </w:rPr>
        <w:t>、</w:t>
      </w:r>
      <w:r>
        <w:rPr>
          <w:rFonts w:hint="eastAsia" w:eastAsia="方正仿宋_GBK" w:cs="Times New Roman"/>
          <w:color w:val="000000" w:themeColor="text1"/>
          <w:kern w:val="0"/>
          <w:szCs w:val="30"/>
          <w14:textFill>
            <w14:solidFill>
              <w14:schemeClr w14:val="tx1"/>
            </w14:solidFill>
          </w14:textFill>
        </w:rPr>
        <w:t>怀梦迪86861553。</w:t>
      </w:r>
    </w:p>
    <w:p>
      <w:pPr>
        <w:ind w:firstLine="632" w:firstLineChars="200"/>
        <w:rPr>
          <w:rFonts w:hint="eastAsia" w:eastAsia="方正仿宋_GBK" w:cs="Times New Roman"/>
          <w:color w:val="000000" w:themeColor="text1"/>
          <w:kern w:val="0"/>
          <w:szCs w:val="30"/>
          <w14:textFill>
            <w14:solidFill>
              <w14:schemeClr w14:val="tx1"/>
            </w14:solidFill>
          </w14:textFill>
        </w:rPr>
      </w:pPr>
      <w:r>
        <w:rPr>
          <w:rFonts w:hint="eastAsia" w:eastAsia="方正仿宋_GBK" w:cs="Times New Roman"/>
          <w:color w:val="000000" w:themeColor="text1"/>
          <w:kern w:val="0"/>
          <w:szCs w:val="30"/>
          <w14:textFill>
            <w14:solidFill>
              <w14:schemeClr w14:val="tx1"/>
            </w14:solidFill>
          </w14:textFill>
        </w:rPr>
        <w:t>C类项目联系人：江阴市科技局高新科</w:t>
      </w:r>
      <w:r>
        <w:rPr>
          <w:rFonts w:hint="eastAsia" w:eastAsia="方正仿宋_GBK" w:cs="Times New Roman"/>
          <w:color w:val="000000" w:themeColor="text1"/>
          <w:kern w:val="0"/>
          <w:szCs w:val="30"/>
          <w:lang w:val="en-US" w:eastAsia="zh-CN"/>
          <w14:textFill>
            <w14:solidFill>
              <w14:schemeClr w14:val="tx1"/>
            </w14:solidFill>
          </w14:textFill>
        </w:rPr>
        <w:t xml:space="preserve"> </w:t>
      </w:r>
      <w:r>
        <w:rPr>
          <w:rFonts w:hint="eastAsia" w:eastAsia="方正仿宋_GBK" w:cs="Times New Roman"/>
          <w:color w:val="000000" w:themeColor="text1"/>
          <w:kern w:val="0"/>
          <w:szCs w:val="30"/>
          <w14:textFill>
            <w14:solidFill>
              <w14:schemeClr w14:val="tx1"/>
            </w14:solidFill>
          </w14:textFill>
        </w:rPr>
        <w:t>温京涛</w:t>
      </w:r>
      <w:r>
        <w:rPr>
          <w:rFonts w:hint="eastAsia" w:eastAsia="方正仿宋_GBK" w:cs="Times New Roman"/>
          <w:color w:val="000000" w:themeColor="text1"/>
          <w:kern w:val="0"/>
          <w:szCs w:val="30"/>
          <w:lang w:val="en-US" w:eastAsia="zh-CN"/>
          <w14:textFill>
            <w14:solidFill>
              <w14:schemeClr w14:val="tx1"/>
            </w14:solidFill>
          </w14:textFill>
        </w:rPr>
        <w:t>、</w:t>
      </w:r>
      <w:r>
        <w:rPr>
          <w:rFonts w:hint="eastAsia" w:eastAsia="方正仿宋_GBK" w:cs="Times New Roman"/>
          <w:color w:val="000000" w:themeColor="text1"/>
          <w:kern w:val="0"/>
          <w:szCs w:val="30"/>
          <w14:textFill>
            <w14:solidFill>
              <w14:schemeClr w14:val="tx1"/>
            </w14:solidFill>
          </w14:textFill>
        </w:rPr>
        <w:t>卞小通86861555。</w:t>
      </w:r>
    </w:p>
    <w:p>
      <w:pPr>
        <w:ind w:firstLine="632" w:firstLineChars="200"/>
        <w:rPr>
          <w:rFonts w:eastAsia="方正仿宋_GBK" w:cs="Times New Roman"/>
          <w:color w:val="000000" w:themeColor="text1"/>
          <w:kern w:val="0"/>
          <w:szCs w:val="30"/>
          <w14:textFill>
            <w14:solidFill>
              <w14:schemeClr w14:val="tx1"/>
            </w14:solidFill>
          </w14:textFill>
        </w:rPr>
      </w:pPr>
    </w:p>
    <w:p>
      <w:pPr>
        <w:ind w:firstLine="632" w:firstLineChars="200"/>
        <w:rPr>
          <w:rFonts w:eastAsia="方正仿宋_GBK"/>
          <w:color w:val="000000" w:themeColor="text1"/>
          <w:spacing w:val="-18"/>
          <w:szCs w:val="30"/>
          <w14:textFill>
            <w14:solidFill>
              <w14:schemeClr w14:val="tx1"/>
            </w14:solidFill>
          </w14:textFill>
        </w:rPr>
      </w:pPr>
      <w:r>
        <w:rPr>
          <w:rFonts w:hint="eastAsia" w:eastAsia="方正仿宋_GBK"/>
          <w:color w:val="000000" w:themeColor="text1"/>
          <w14:textFill>
            <w14:solidFill>
              <w14:schemeClr w14:val="tx1"/>
            </w14:solidFill>
          </w14:textFill>
        </w:rPr>
        <w:t>附件：1.1</w:t>
      </w:r>
      <w:r>
        <w:rPr>
          <w:rFonts w:hint="eastAsia" w:eastAsia="方正仿宋_GBK"/>
          <w:color w:val="000000" w:themeColor="text1"/>
          <w:lang w:val="en-US" w:eastAsia="zh-CN"/>
          <w14:textFill>
            <w14:solidFill>
              <w14:schemeClr w14:val="tx1"/>
            </w14:solidFill>
          </w14:textFill>
        </w:rPr>
        <w:t xml:space="preserve"> </w:t>
      </w:r>
      <w:r>
        <w:rPr>
          <w:rFonts w:hint="eastAsia" w:eastAsia="方正仿宋_GBK"/>
          <w:color w:val="000000" w:themeColor="text1"/>
          <w:spacing w:val="-18"/>
          <w:szCs w:val="30"/>
          <w14:textFill>
            <w14:solidFill>
              <w14:schemeClr w14:val="tx1"/>
            </w14:solidFill>
          </w14:textFill>
        </w:rPr>
        <w:t>江阴“霞客之光”产业自主创新攻关计划项目需求榜单</w:t>
      </w:r>
    </w:p>
    <w:p>
      <w:pPr>
        <w:tabs>
          <w:tab w:val="left" w:pos="1666"/>
        </w:tabs>
        <w:ind w:left="0" w:leftChars="0" w:firstLine="1580" w:firstLineChars="500"/>
        <w:rPr>
          <w:rFonts w:hint="eastAsia" w:eastAsia="方正仿宋_GBK"/>
          <w:color w:val="000000" w:themeColor="text1"/>
          <w:szCs w:val="30"/>
          <w14:textFill>
            <w14:solidFill>
              <w14:schemeClr w14:val="tx1"/>
            </w14:solidFill>
          </w14:textFill>
        </w:rPr>
      </w:pPr>
      <w:r>
        <w:rPr>
          <w:rFonts w:hint="eastAsia" w:eastAsia="方正仿宋_GBK"/>
          <w:color w:val="000000" w:themeColor="text1"/>
          <w:szCs w:val="30"/>
          <w14:textFill>
            <w14:solidFill>
              <w14:schemeClr w14:val="tx1"/>
            </w14:solidFill>
          </w14:textFill>
        </w:rPr>
        <w:t>1.2</w:t>
      </w:r>
      <w:r>
        <w:rPr>
          <w:rFonts w:hint="eastAsia" w:eastAsia="方正仿宋_GBK"/>
          <w:color w:val="000000" w:themeColor="text1"/>
          <w:sz w:val="18"/>
          <w:szCs w:val="18"/>
          <w:lang w:val="en-US" w:eastAsia="zh-CN"/>
          <w14:textFill>
            <w14:solidFill>
              <w14:schemeClr w14:val="tx1"/>
            </w14:solidFill>
          </w14:textFill>
        </w:rPr>
        <w:t xml:space="preserve">  </w:t>
      </w:r>
      <w:r>
        <w:rPr>
          <w:rFonts w:hint="eastAsia" w:eastAsia="方正仿宋_GBK"/>
          <w:color w:val="000000" w:themeColor="text1"/>
          <w:szCs w:val="30"/>
          <w14:textFill>
            <w14:solidFill>
              <w14:schemeClr w14:val="tx1"/>
            </w14:solidFill>
          </w14:textFill>
        </w:rPr>
        <w:t>2021年江阴“霞客之光”产业自主创新攻关计划</w:t>
      </w:r>
    </w:p>
    <w:p>
      <w:pPr>
        <w:tabs>
          <w:tab w:val="left" w:pos="1666"/>
        </w:tabs>
        <w:ind w:firstLine="2098" w:firstLineChars="664"/>
        <w:rPr>
          <w:rFonts w:hint="eastAsia" w:eastAsia="方正仿宋_GBK"/>
          <w:color w:val="000000" w:themeColor="text1"/>
          <w:szCs w:val="30"/>
          <w14:textFill>
            <w14:solidFill>
              <w14:schemeClr w14:val="tx1"/>
            </w14:solidFill>
          </w14:textFill>
        </w:rPr>
      </w:pPr>
      <w:r>
        <w:rPr>
          <w:rFonts w:hint="eastAsia" w:eastAsia="方正仿宋_GBK"/>
          <w:color w:val="000000" w:themeColor="text1"/>
          <w:szCs w:val="30"/>
          <w14:textFill>
            <w14:solidFill>
              <w14:schemeClr w14:val="tx1"/>
            </w14:solidFill>
          </w14:textFill>
        </w:rPr>
        <w:t>项目支持方向</w:t>
      </w:r>
    </w:p>
    <w:p>
      <w:pPr>
        <w:ind w:firstLine="632" w:firstLineChars="200"/>
        <w:rPr>
          <w:rFonts w:hint="eastAsia" w:eastAsia="方正仿宋_GBK"/>
          <w:szCs w:val="30"/>
        </w:rPr>
      </w:pPr>
    </w:p>
    <w:p>
      <w:pPr>
        <w:ind w:firstLine="632" w:firstLineChars="200"/>
        <w:rPr>
          <w:rFonts w:hint="eastAsia" w:eastAsia="方正仿宋_GBK"/>
          <w:szCs w:val="30"/>
        </w:rPr>
      </w:pPr>
    </w:p>
    <w:p>
      <w:pPr>
        <w:ind w:firstLine="632" w:firstLineChars="200"/>
        <w:rPr>
          <w:rFonts w:eastAsia="方正仿宋_GBK"/>
          <w:szCs w:val="30"/>
        </w:rPr>
        <w:sectPr>
          <w:headerReference r:id="rId3" w:type="default"/>
          <w:footerReference r:id="rId4" w:type="default"/>
          <w:footerReference r:id="rId5" w:type="even"/>
          <w:pgSz w:w="11906" w:h="16838"/>
          <w:pgMar w:top="2098" w:right="1474" w:bottom="1985" w:left="1588" w:header="851" w:footer="1474" w:gutter="0"/>
          <w:cols w:space="720" w:num="1"/>
          <w:docGrid w:type="linesAndChars" w:linePitch="579" w:charSpace="-849"/>
        </w:sectPr>
      </w:pPr>
    </w:p>
    <w:p>
      <w:pPr>
        <w:rPr>
          <w:rFonts w:eastAsia="方正黑体_GBK"/>
          <w:szCs w:val="32"/>
        </w:rPr>
      </w:pPr>
      <w:r>
        <w:rPr>
          <w:rFonts w:hint="eastAsia" w:eastAsia="方正黑体_GBK"/>
          <w:szCs w:val="32"/>
        </w:rPr>
        <w:t>附件1.1</w:t>
      </w:r>
    </w:p>
    <w:p>
      <w:pPr>
        <w:pStyle w:val="2"/>
        <w:widowControl/>
        <w:spacing w:beforeAutospacing="0" w:afterAutospacing="0" w:line="0" w:lineRule="atLeast"/>
        <w:ind w:firstLine="872" w:firstLineChars="200"/>
        <w:jc w:val="center"/>
        <w:rPr>
          <w:rFonts w:hint="default" w:ascii="Times New Roman" w:hAnsi="Times New Roman" w:eastAsia="方正小标宋_GBK"/>
          <w:b w:val="0"/>
          <w:sz w:val="44"/>
          <w:szCs w:val="44"/>
        </w:rPr>
      </w:pPr>
      <w:r>
        <w:rPr>
          <w:rFonts w:ascii="Times New Roman" w:hAnsi="Times New Roman" w:eastAsia="方正小标宋_GBK"/>
          <w:b w:val="0"/>
          <w:sz w:val="44"/>
          <w:szCs w:val="44"/>
        </w:rPr>
        <w:t>江阴“霞客之光”产业自主创新攻关计划项目需求榜单</w:t>
      </w:r>
    </w:p>
    <w:tbl>
      <w:tblPr>
        <w:tblStyle w:val="8"/>
        <w:tblW w:w="5000"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86"/>
        <w:gridCol w:w="1449"/>
        <w:gridCol w:w="6791"/>
        <w:gridCol w:w="3934"/>
        <w:gridCol w:w="192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blHeader/>
        </w:trPr>
        <w:tc>
          <w:tcPr>
            <w:tcW w:w="232" w:type="pct"/>
            <w:shd w:val="clear" w:color="auto" w:fill="auto"/>
            <w:vAlign w:val="center"/>
          </w:tcPr>
          <w:p>
            <w:pPr>
              <w:widowControl/>
              <w:spacing w:line="300" w:lineRule="exact"/>
              <w:jc w:val="center"/>
              <w:rPr>
                <w:rFonts w:eastAsia="方正黑体_GBK" w:cs="Times New Roman"/>
                <w:color w:val="000000"/>
                <w:kern w:val="0"/>
                <w:sz w:val="21"/>
                <w:szCs w:val="21"/>
              </w:rPr>
            </w:pPr>
            <w:r>
              <w:rPr>
                <w:rFonts w:hint="eastAsia" w:eastAsia="方正黑体_GBK" w:cs="Times New Roman"/>
                <w:color w:val="000000"/>
                <w:kern w:val="0"/>
                <w:sz w:val="21"/>
                <w:szCs w:val="21"/>
              </w:rPr>
              <w:t>序号</w:t>
            </w:r>
          </w:p>
        </w:tc>
        <w:tc>
          <w:tcPr>
            <w:tcW w:w="490" w:type="pct"/>
            <w:shd w:val="clear" w:color="auto" w:fill="auto"/>
            <w:vAlign w:val="center"/>
          </w:tcPr>
          <w:p>
            <w:pPr>
              <w:widowControl/>
              <w:spacing w:line="300" w:lineRule="exact"/>
              <w:jc w:val="center"/>
              <w:rPr>
                <w:rFonts w:eastAsia="方正黑体_GBK" w:cs="Times New Roman"/>
                <w:color w:val="000000"/>
                <w:kern w:val="0"/>
                <w:sz w:val="21"/>
                <w:szCs w:val="21"/>
              </w:rPr>
            </w:pPr>
            <w:r>
              <w:rPr>
                <w:rFonts w:hint="eastAsia" w:eastAsia="方正黑体_GBK" w:cs="Times New Roman"/>
                <w:color w:val="000000"/>
                <w:kern w:val="0"/>
                <w:sz w:val="21"/>
                <w:szCs w:val="21"/>
              </w:rPr>
              <w:t>领域</w:t>
            </w:r>
          </w:p>
        </w:tc>
        <w:tc>
          <w:tcPr>
            <w:tcW w:w="2296" w:type="pct"/>
            <w:shd w:val="clear" w:color="auto" w:fill="auto"/>
            <w:vAlign w:val="center"/>
          </w:tcPr>
          <w:p>
            <w:pPr>
              <w:widowControl/>
              <w:spacing w:line="300" w:lineRule="exact"/>
              <w:jc w:val="center"/>
              <w:rPr>
                <w:rFonts w:eastAsia="方正黑体_GBK" w:cs="Times New Roman"/>
                <w:color w:val="000000"/>
                <w:kern w:val="0"/>
                <w:sz w:val="21"/>
                <w:szCs w:val="21"/>
              </w:rPr>
            </w:pPr>
            <w:r>
              <w:rPr>
                <w:rFonts w:hint="eastAsia" w:eastAsia="方正黑体_GBK" w:cs="Times New Roman"/>
                <w:color w:val="000000"/>
                <w:kern w:val="0"/>
                <w:sz w:val="21"/>
                <w:szCs w:val="21"/>
              </w:rPr>
              <w:t>发榜项目名称</w:t>
            </w:r>
          </w:p>
        </w:tc>
        <w:tc>
          <w:tcPr>
            <w:tcW w:w="1330" w:type="pct"/>
            <w:shd w:val="clear" w:color="auto" w:fill="auto"/>
            <w:vAlign w:val="center"/>
          </w:tcPr>
          <w:p>
            <w:pPr>
              <w:widowControl/>
              <w:spacing w:line="300" w:lineRule="exact"/>
              <w:jc w:val="center"/>
              <w:rPr>
                <w:rFonts w:eastAsia="方正黑体_GBK" w:cs="Times New Roman"/>
                <w:color w:val="000000"/>
                <w:kern w:val="0"/>
                <w:sz w:val="21"/>
                <w:szCs w:val="21"/>
              </w:rPr>
            </w:pPr>
            <w:r>
              <w:rPr>
                <w:rFonts w:hint="eastAsia" w:eastAsia="方正黑体_GBK" w:cs="Times New Roman"/>
                <w:color w:val="000000"/>
                <w:kern w:val="0"/>
                <w:sz w:val="21"/>
                <w:szCs w:val="21"/>
              </w:rPr>
              <w:t>需求企业名称</w:t>
            </w:r>
          </w:p>
        </w:tc>
        <w:tc>
          <w:tcPr>
            <w:tcW w:w="651" w:type="pct"/>
            <w:shd w:val="clear" w:color="auto" w:fill="auto"/>
            <w:vAlign w:val="center"/>
          </w:tcPr>
          <w:p>
            <w:pPr>
              <w:widowControl/>
              <w:spacing w:line="300" w:lineRule="exact"/>
              <w:jc w:val="center"/>
              <w:rPr>
                <w:rFonts w:eastAsia="方正黑体_GBK" w:cs="宋体"/>
                <w:color w:val="000000"/>
                <w:kern w:val="0"/>
                <w:sz w:val="21"/>
                <w:szCs w:val="21"/>
              </w:rPr>
            </w:pPr>
            <w:r>
              <w:rPr>
                <w:rFonts w:hint="eastAsia" w:eastAsia="方正黑体_GBK" w:cs="宋体"/>
                <w:color w:val="000000"/>
                <w:kern w:val="0"/>
                <w:sz w:val="21"/>
                <w:szCs w:val="21"/>
              </w:rPr>
              <w:t>项目预计投入金额</w:t>
            </w:r>
            <w:r>
              <w:rPr>
                <w:rFonts w:hint="eastAsia" w:eastAsia="方正黑体_GBK" w:cs="宋体"/>
                <w:color w:val="000000"/>
                <w:kern w:val="0"/>
                <w:sz w:val="21"/>
                <w:szCs w:val="21"/>
              </w:rPr>
              <w:br w:type="textWrapping"/>
            </w:r>
            <w:r>
              <w:rPr>
                <w:rFonts w:hint="eastAsia" w:eastAsia="方正黑体_GBK" w:cs="宋体"/>
                <w:color w:val="000000"/>
                <w:kern w:val="0"/>
                <w:sz w:val="21"/>
                <w:szCs w:val="21"/>
              </w:rPr>
              <w:t>（万元）</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双碳领域</w:t>
            </w:r>
          </w:p>
        </w:tc>
        <w:tc>
          <w:tcPr>
            <w:tcW w:w="2296" w:type="pct"/>
            <w:shd w:val="clear" w:color="auto" w:fill="auto"/>
            <w:vAlign w:val="center"/>
          </w:tcPr>
          <w:p>
            <w:pPr>
              <w:widowControl/>
              <w:spacing w:line="300" w:lineRule="exact"/>
              <w:rPr>
                <w:rFonts w:eastAsia="方正楷体_GBK" w:cs="宋体"/>
                <w:kern w:val="0"/>
                <w:sz w:val="21"/>
                <w:szCs w:val="21"/>
              </w:rPr>
            </w:pPr>
            <w:r>
              <w:rPr>
                <w:rFonts w:hint="eastAsia" w:eastAsia="方正楷体_GBK" w:cs="Times New Roman"/>
                <w:kern w:val="0"/>
                <w:sz w:val="21"/>
                <w:szCs w:val="21"/>
              </w:rPr>
              <w:t>基于绿色节能工艺的高性能钢铁材料研发及产业化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江阴兴澄特种钢铁有限公司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双碳领域</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中深层地热能深度利用及多能源耦合互补供热关键技术研发及产业化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双良节能系统股份有限公司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双碳领域</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高效异质结太阳能电池技术开发及产业化应用</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中建材浚鑫科技有限公司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双碳领域</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高氨氮、高有机物、高硬度废水的全量化处理研发项目</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江苏坤奕环境工程有限公司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电子信息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高密度系统级封装研究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江苏长电科技股份有限公司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4000—6000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电子信息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重大装备综合保障软件的研发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江苏远望神州软件有限公司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电子信息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一种压电式加速度传感器的研发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江苏利核仪控技术有限公司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电子信息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工矿企业电力设备数字化智能监测技术的研发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江苏安科瑞电器制造有限公司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电子信息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交流桩A、B型漏电检测、直流桩绝缘检测技术的研发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江苏安科瑞电器制造有限公司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电子信息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16通道PMU板卡的技术研发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江苏澄测科技有限公司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1000Nm3/h碱性电解制氢系统设计方法及制造工艺研究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江苏双良新能源装备有限公司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辊底式固熔热处理炉节能改造技术的研发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江阴市南方不锈钢管有限公司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一种适合海上环境，耐低温抗腐蚀风电材料的研发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江阴市恒润环锻有限公司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高压反渗透能量回收系统的研发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无锡凯瑞德流体技术有限公司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80—100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一种高能量密度材料的研发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远景动力技术（江苏）有限公司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一种高性能动力电池的技术研发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远景动力技术（江苏）有限公司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高成组动力电池的技术研发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远景动力技术（江苏）有限公司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高性能磷酸铁锂动力电池的技术研发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远景动力技术（江苏）有限公司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高安全性、超长寿命磷酸铁锂电池开发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江苏海基新能源股份有限公司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节能与环保</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智慧环保远程监控系统平台的开发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江苏垦乐节能环保科技有限公司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生物医药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中药配方颗粒国家标准的研发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江阴天江药业有限公司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生物医药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高标准农田与宅基地复垦耕地快速培肥技术与产品开发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中向旭曜科技有限公司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850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生物医药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猪圆环病毒2型、支原体肺炎二联灭活疫苗研发及产业化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江苏南农高科技股份有限公司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850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生物医药</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高性能功能性益生菌的研究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江苏佰澳达生物科技有限公司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高可靠长寿命的超多通道液压回转装置的研发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江苏长龄液压股份有限公司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植物肉挤压装备技术开发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江苏新达科技有限公司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大功率海上直驱风电机转子结构件的研发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江苏振江新能源装备股份有限公司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汽车差速器行星齿轮高速温锻生产系统的研发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江阴全华丰精锻有限公司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29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抗高温、高精度化工合成氨装置用合成气流量计的研发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江阴市节流装置厂有限公司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提升某型号柴油机用涡轮制造良品率的工艺研究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江阴鑫宝利金属制品有限公司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适用于旋钻挖机回转平台支架的智能焊接系统的开发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江阴富朗特机械有限公司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无人化低噪音高速冲床的设计</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江阴市创佳电器有限公司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S06型金属单极板高精度冲压相关技术研究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江阴市高拓精密模具有限公司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烟气蒸发技术研究及自动化改造</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江阴铠乐丰环境工程科技有限公司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基于可视化技术的磁性材料生产技术方案研发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江阴长源机械有限公司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深海风电桩基安装用高效智能化水下导向架成套装备的研发及产业化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江苏华西村海洋工程服务有限公司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一种钢结构智能焊接机器人的研发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中建钢构江苏有限公司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600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一种氢气贮存储罐类容器的研发与制造技术</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江苏双良锅炉有限公司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39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一种成型模具设计应用技术</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江苏耀坤液压股份有限公司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一种新型水雾喷砂装置的研发及产业化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中船澄西船舶修造有限公司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一种液压阀阀芯加工工艺方法研究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无锡鹰贝精密液压有限公司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一种膜烘箱电机智能控制系统研发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江阴特美金属制品有限公司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一种智能立体化仓库设计及开发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江阴复睿金属科技有限公司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多层复合管路生产工艺优化及检测平台开发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江阴标榜汽车部件股份有限公司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一种淤泥固化技术的研发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江阴市澄利水利市政工程有限公司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核工业领域大型压力管件高质高效焊接关键技术开发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江阴市东泰管件有限公司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螺纹钢产品降本技术的研发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江阴市长达钢铁有限公司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一种耳塞自动化穿线系统的开发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江阴思安塑胶防护科技有限公司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49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走行部在线监测系统的技术研究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江苏必得科技股份有限公司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细磨机性能优化技术研究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江苏秋林特能装备股份有限公司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一种变温式锻造成型技术的研究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江阴南工锻造有限公司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适于新能源汽车用的智能胎压监测气嘴的研发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江阴市创新气门嘴有限公司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一种耐摩擦、耐高温、耐高压的模具涂层材料的研发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江苏江顺精密科技集团股份有限公司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80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管式换热器的管板智能焊接机器人的研发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江阴中南重工有限公司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具有焊接前处理能力的自动激光切割系统的研发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江阴中南重工有限公司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相贯线自动切割焊接系统的研发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江阴中南重工有限公司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压力容器的筒体和封头接管的开孔和焊接系统的研发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江阴中南重工有限公司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新型可移动伸缩的环保涂装系统的开发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江阴中南重工有限公司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59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新型可移动伸缩的环保酸洗防护系统的研发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江阴中南重工有限公司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70MPa 车载塑料内胆碳纤维缠绕储氢瓶的生产技术和装备的研发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江阴中南重工有限公司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一种新型的激光技术、激光开槽设备及工艺的研发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江阴德龙能源设备有限公司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新型海洋平台基础结构优化设计</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江阴双马重工装备有限公司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一种适用于移动储能系统的储能变流器的研发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江苏方程电力科技有限公司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一种高性能制冷自动售货机的研发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江阴市万沅电子科技有限公司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一种失电电磁制动器性能提升的研究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江阴双马机电科技有限公司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一种钻机远程控制系统的开发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江苏中煤矿山设备有限公司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废钢无人化加工技术的研发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江苏华宏科技股份有限公司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HS07变频器产品的同步电机控制功能开发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三垦力达电气（江阴）有限公司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69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蜗杆、蜗轮齿形齿厚的检测技术的研发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江阴市华方新能源高科设备有限公司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基于多源信息融合的异常状态识别技术的研发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江苏新道格自控科技有限公司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71</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健康智能诊断技术的研发</w:t>
            </w:r>
          </w:p>
        </w:tc>
        <w:tc>
          <w:tcPr>
            <w:tcW w:w="1330" w:type="pct"/>
            <w:shd w:val="clear" w:color="auto" w:fill="auto"/>
          </w:tcPr>
          <w:p>
            <w:pPr>
              <w:widowControl/>
              <w:spacing w:line="300" w:lineRule="exact"/>
              <w:jc w:val="center"/>
            </w:pPr>
            <w:r>
              <w:rPr>
                <w:rFonts w:hint="eastAsia" w:eastAsia="方正楷体_GBK" w:cs="Times New Roman"/>
                <w:kern w:val="0"/>
                <w:sz w:val="21"/>
                <w:szCs w:val="21"/>
              </w:rPr>
              <w:t>江苏新道格自控科技有限公司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72</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故障应急处理技术的研发</w:t>
            </w:r>
          </w:p>
        </w:tc>
        <w:tc>
          <w:tcPr>
            <w:tcW w:w="1330" w:type="pct"/>
            <w:shd w:val="clear" w:color="auto" w:fill="auto"/>
          </w:tcPr>
          <w:p>
            <w:pPr>
              <w:widowControl/>
              <w:spacing w:line="300" w:lineRule="exact"/>
              <w:jc w:val="center"/>
            </w:pPr>
            <w:r>
              <w:rPr>
                <w:rFonts w:hint="eastAsia" w:eastAsia="方正楷体_GBK" w:cs="Times New Roman"/>
                <w:kern w:val="0"/>
                <w:sz w:val="21"/>
                <w:szCs w:val="21"/>
              </w:rPr>
              <w:t>江苏新道格自控科技有限公司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73</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智能化监控系统的研发</w:t>
            </w:r>
          </w:p>
        </w:tc>
        <w:tc>
          <w:tcPr>
            <w:tcW w:w="1330" w:type="pct"/>
            <w:shd w:val="clear" w:color="auto" w:fill="auto"/>
          </w:tcPr>
          <w:p>
            <w:pPr>
              <w:widowControl/>
              <w:spacing w:line="300" w:lineRule="exact"/>
              <w:jc w:val="center"/>
            </w:pPr>
            <w:r>
              <w:rPr>
                <w:rFonts w:hint="eastAsia" w:eastAsia="方正楷体_GBK" w:cs="Times New Roman"/>
                <w:kern w:val="0"/>
                <w:sz w:val="21"/>
                <w:szCs w:val="21"/>
              </w:rPr>
              <w:t>江苏新道格自控科技有限公司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智能化生产管理系统的研发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江苏阳光股份有限公司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物联网应用及智能化无人工厂的开发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江苏大隆凯科技有限公司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MES系统的开发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江阴精力模具工程有限公司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花捻机上增加磨毛装置的技术研发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江苏海特服饰股份有限公司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先进制造</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加油机器人以及机器人云服务技术的研发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江阴市富仁高科股份有限公司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79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金属覆膜超微孔吸声蜂窝板及其安装系统的研发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江苏标榜装饰新材料股份有限公司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885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办公隔断的模块化设计与安装</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江苏标榜装饰新材料股份有限公司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环保低气味乘用车橡胶密封条的研发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江阴海达橡塑股份有限公司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一种具有高阻隔结构的食品包装膜的研发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升辉新材料股份有限公司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智能制造车间自动智能转运机的研发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江阴市达菲玛汽配科技有限公司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84</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一种碳纤维增强型PA复合材料研发</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江阴市达菲玛汽配科技有限公司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一种高性能LCD、LED用光刻胶的开发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江苏广信感光新材料股份有限公司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一种具有调温功能的柔性智能材料的制备方法的研发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阳光卫生医疗科技江阴有限公司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一种粗旦双组分纺粘非织造材料的开发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阳光卫生医疗科技江阴有限公司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一种非织造医用防护材料的制备方法研究</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阳光卫生医疗科技江阴有限公司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89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一种具有良好抗氧化性能的环保型天然酯类混合绝缘油及其制备方法的研发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江苏双江能源科技股份有限公司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一种高强度导电高分子纳米复合材料制备方法的研发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江阴市海江高分子材料有限公司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91</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一种双针床经编家纺提花绒类面料的开发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江阴市傅博纺织有限公司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钢丝单丝表面缺陷的检测升级软件的开发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江阴天润信息技术有限公司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一种高掺量再生温拌橡胶沥青的研发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江苏宝利国际投资股份有限公司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一种双氧水净化用高品质阴、阳离子交换树脂的研发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江苏苏青水处理工程集团有限公司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42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PE大桥缆索的研发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江阴爱科森博顿聚合体有限公司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集成电路用高端金属蚀刻液的开发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江阴润玛电子材料股份有限公司、</w:t>
            </w:r>
          </w:p>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江苏中德电子材料科技有限公司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一种改性丙烯酸胶粘剂的研发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江阴市晟云电子新材料有限公司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一种汽车用吸塑板材性能提升技术的开发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江阴协统汽车附件有限公司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99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一种VPHC工艺外饰产品性能提升技术的开发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江阴协统汽车附件有限公司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60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绿色环保日化产品及抑菌剂的研发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江苏雪豹日化有限公司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30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101</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新型环保材料PP技术攻关及研发</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无锡市科晶环保塑胶科技有限公司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10-50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102</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半导体光伏行业用工程塑料PVDF产品研发</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无锡市科晶环保塑胶科技有限公司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10-50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新型工程塑料PEEK产品研发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无锡市科晶环保塑胶科技有限公司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104</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perc铝浆玻璃粉粒径及玻璃化转变温度技术的研发</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江苏国瓷泓源光电科技有限公司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片式陶瓷电容器外电极铜浆用玻璃粉的研发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江苏国瓷泓源光电科技有限公司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一种AGAR车载屏幕防爆膜的研发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江阴通利光电科技有限公司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107</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一种环保型高固体份树脂的研发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江阴市大阪涂料有限公司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电磁屏蔽服屏蔽效能提升技术的研发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圣华盾防护科技股份有限公司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109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软包行业可回收型复合材料的研发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江阴宝柏包装有限公司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110</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液晶合成新工艺、新路线及产业化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江阴市华亚化工有限公司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111</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精品液晶单体纯化技术的研发</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江阴市华亚化工有限公司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50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羊毛制品耐久定形整理关键技术研发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江苏阳光股份有限公司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113</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一种轻质、高强、耐腐蚀、抗疲劳的大吨位碳纤维复合材料拉索的研发及产业化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法尔胜泓昇集团有限公司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2000-3000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114</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面向军工领域高功率光纤激光器用掺镱双包层光纤的研发及产业化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法尔胜泓昇集团有限公司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115</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长距离分布式光纤形状传感系统研发及产业化</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法尔胜泓昇集团有限公司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1500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116</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新型耐蚀高导变形加工铜合金开发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江阴和宏精工科技有限公司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117</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铜合金无缝管短流程产业化工艺优化技术</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江阴和宏精工科技有限公司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100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118</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一种不锈钢复合材料的研发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江阴康瑞成型技术科技有限公司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500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119</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超低温风洞用法兰组件套装不锈钢锻件的研发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江阴振宏重型锻造有限公司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800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120</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高性能刀具材料研发及产业化</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江阴塞特精密工具有限公司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5000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hint="eastAsia" w:eastAsia="方正楷体_GBK" w:cs="Times New Roman"/>
                <w:color w:val="000000"/>
                <w:kern w:val="0"/>
                <w:sz w:val="21"/>
                <w:szCs w:val="21"/>
              </w:rPr>
            </w:pPr>
            <w:r>
              <w:rPr>
                <w:rFonts w:hint="eastAsia" w:eastAsia="方正楷体_GBK" w:cs="Times New Roman"/>
                <w:color w:val="000000"/>
                <w:kern w:val="0"/>
                <w:sz w:val="21"/>
                <w:szCs w:val="21"/>
              </w:rPr>
              <w:t>121</w:t>
            </w:r>
          </w:p>
        </w:tc>
        <w:tc>
          <w:tcPr>
            <w:tcW w:w="49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hint="eastAsia" w:eastAsia="方正楷体_GBK" w:cs="Times New Roman"/>
                <w:kern w:val="0"/>
                <w:sz w:val="21"/>
                <w:szCs w:val="21"/>
              </w:rPr>
            </w:pPr>
            <w:r>
              <w:rPr>
                <w:rFonts w:hint="eastAsia" w:eastAsia="方正楷体_GBK" w:cs="Times New Roman"/>
                <w:kern w:val="0"/>
                <w:sz w:val="21"/>
                <w:szCs w:val="21"/>
              </w:rPr>
              <w:t>精密刀具工艺技术研发</w:t>
            </w:r>
          </w:p>
        </w:tc>
        <w:tc>
          <w:tcPr>
            <w:tcW w:w="1330"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江阴塞特精密工具有限公司</w:t>
            </w:r>
          </w:p>
        </w:tc>
        <w:tc>
          <w:tcPr>
            <w:tcW w:w="651" w:type="pct"/>
            <w:shd w:val="clear" w:color="auto" w:fill="auto"/>
            <w:vAlign w:val="center"/>
          </w:tcPr>
          <w:p>
            <w:pPr>
              <w:widowControl/>
              <w:spacing w:line="300" w:lineRule="exact"/>
              <w:jc w:val="center"/>
              <w:rPr>
                <w:rFonts w:hint="eastAsia" w:eastAsia="方正楷体_GBK" w:cs="Times New Roman"/>
                <w:kern w:val="0"/>
                <w:sz w:val="21"/>
                <w:szCs w:val="21"/>
              </w:rPr>
            </w:pPr>
            <w:r>
              <w:rPr>
                <w:rFonts w:hint="eastAsia" w:eastAsia="方正楷体_GBK" w:cs="Times New Roman"/>
                <w:kern w:val="0"/>
                <w:sz w:val="21"/>
                <w:szCs w:val="21"/>
              </w:rPr>
              <w:t>5000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232" w:type="pct"/>
            <w:shd w:val="clear" w:color="auto" w:fill="auto"/>
            <w:vAlign w:val="center"/>
          </w:tcPr>
          <w:p>
            <w:pPr>
              <w:widowControl/>
              <w:spacing w:line="300" w:lineRule="exact"/>
              <w:jc w:val="center"/>
              <w:rPr>
                <w:rFonts w:eastAsia="方正楷体_GBK" w:cs="Times New Roman"/>
                <w:color w:val="000000"/>
                <w:kern w:val="0"/>
                <w:sz w:val="21"/>
                <w:szCs w:val="21"/>
              </w:rPr>
            </w:pPr>
            <w:r>
              <w:rPr>
                <w:rFonts w:hint="eastAsia" w:eastAsia="方正楷体_GBK" w:cs="Times New Roman"/>
                <w:color w:val="000000"/>
                <w:kern w:val="0"/>
                <w:sz w:val="21"/>
                <w:szCs w:val="21"/>
              </w:rPr>
              <w:t>122</w:t>
            </w:r>
          </w:p>
        </w:tc>
        <w:tc>
          <w:tcPr>
            <w:tcW w:w="49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新材料</w:t>
            </w:r>
          </w:p>
        </w:tc>
        <w:tc>
          <w:tcPr>
            <w:tcW w:w="2296" w:type="pct"/>
            <w:shd w:val="clear" w:color="auto" w:fill="auto"/>
            <w:vAlign w:val="center"/>
          </w:tcPr>
          <w:p>
            <w:pPr>
              <w:widowControl/>
              <w:spacing w:line="300" w:lineRule="exact"/>
              <w:rPr>
                <w:rFonts w:eastAsia="方正楷体_GBK" w:cs="Times New Roman"/>
                <w:kern w:val="0"/>
                <w:sz w:val="21"/>
                <w:szCs w:val="21"/>
              </w:rPr>
            </w:pPr>
            <w:r>
              <w:rPr>
                <w:rFonts w:hint="eastAsia" w:eastAsia="方正楷体_GBK" w:cs="Times New Roman"/>
                <w:kern w:val="0"/>
                <w:sz w:val="21"/>
                <w:szCs w:val="21"/>
              </w:rPr>
              <w:t xml:space="preserve"> 刀具产品涂层技术研发</w:t>
            </w:r>
          </w:p>
        </w:tc>
        <w:tc>
          <w:tcPr>
            <w:tcW w:w="1330"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江阴塞特精密工具有限公司</w:t>
            </w:r>
          </w:p>
        </w:tc>
        <w:tc>
          <w:tcPr>
            <w:tcW w:w="651" w:type="pct"/>
            <w:shd w:val="clear" w:color="auto" w:fill="auto"/>
            <w:vAlign w:val="center"/>
          </w:tcPr>
          <w:p>
            <w:pPr>
              <w:widowControl/>
              <w:spacing w:line="300" w:lineRule="exact"/>
              <w:jc w:val="center"/>
              <w:rPr>
                <w:rFonts w:eastAsia="方正楷体_GBK" w:cs="Times New Roman"/>
                <w:kern w:val="0"/>
                <w:sz w:val="21"/>
                <w:szCs w:val="21"/>
              </w:rPr>
            </w:pPr>
            <w:r>
              <w:rPr>
                <w:rFonts w:hint="eastAsia" w:eastAsia="方正楷体_GBK" w:cs="Times New Roman"/>
                <w:kern w:val="0"/>
                <w:sz w:val="21"/>
                <w:szCs w:val="21"/>
              </w:rPr>
              <w:t>2500</w:t>
            </w:r>
          </w:p>
        </w:tc>
      </w:tr>
    </w:tbl>
    <w:p>
      <w:pPr>
        <w:rPr>
          <w:rFonts w:eastAsia="方正仿宋_GBK"/>
        </w:rPr>
      </w:pPr>
    </w:p>
    <w:p>
      <w:pPr>
        <w:rPr>
          <w:rFonts w:eastAsia="方正仿宋_GBK"/>
        </w:rPr>
      </w:pPr>
    </w:p>
    <w:p>
      <w:pPr>
        <w:rPr>
          <w:rFonts w:hint="eastAsia" w:eastAsia="方正仿宋_GBK"/>
        </w:rPr>
      </w:pPr>
    </w:p>
    <w:p>
      <w:pPr>
        <w:rPr>
          <w:rFonts w:hint="eastAsia" w:eastAsia="方正仿宋_GBK"/>
        </w:rPr>
      </w:pPr>
    </w:p>
    <w:p>
      <w:pPr>
        <w:rPr>
          <w:rFonts w:eastAsia="方正仿宋_GBK"/>
        </w:rPr>
      </w:pPr>
    </w:p>
    <w:p>
      <w:pPr>
        <w:rPr>
          <w:rFonts w:eastAsia="方正黑体_GBK"/>
          <w:szCs w:val="32"/>
        </w:rPr>
        <w:sectPr>
          <w:pgSz w:w="16838" w:h="11906" w:orient="landscape"/>
          <w:pgMar w:top="1134" w:right="1134" w:bottom="1134" w:left="1134" w:header="851" w:footer="992" w:gutter="0"/>
          <w:cols w:space="720" w:num="1"/>
          <w:docGrid w:type="linesAndChars" w:linePitch="579" w:charSpace="-849"/>
        </w:sectPr>
      </w:pPr>
    </w:p>
    <w:p>
      <w:pPr>
        <w:rPr>
          <w:rFonts w:eastAsia="方正黑体_GBK"/>
          <w:szCs w:val="32"/>
        </w:rPr>
      </w:pPr>
      <w:r>
        <w:rPr>
          <w:rFonts w:hint="eastAsia" w:eastAsia="方正黑体_GBK"/>
          <w:szCs w:val="32"/>
        </w:rPr>
        <w:t>附件1.2</w:t>
      </w:r>
    </w:p>
    <w:p>
      <w:pPr>
        <w:pStyle w:val="2"/>
        <w:widowControl/>
        <w:spacing w:beforeAutospacing="0" w:afterAutospacing="0" w:line="0" w:lineRule="atLeast"/>
        <w:ind w:firstLine="872" w:firstLineChars="200"/>
        <w:jc w:val="center"/>
        <w:rPr>
          <w:rFonts w:hint="default" w:ascii="Times New Roman" w:hAnsi="Times New Roman" w:eastAsia="方正小标宋_GBK"/>
          <w:b w:val="0"/>
          <w:sz w:val="44"/>
          <w:szCs w:val="44"/>
        </w:rPr>
      </w:pPr>
      <w:r>
        <w:rPr>
          <w:rFonts w:ascii="Times New Roman" w:hAnsi="Times New Roman" w:eastAsia="方正小标宋_GBK"/>
          <w:b w:val="0"/>
          <w:sz w:val="44"/>
          <w:szCs w:val="44"/>
        </w:rPr>
        <w:t>2021年江阴“霞客之光”</w:t>
      </w:r>
    </w:p>
    <w:p>
      <w:pPr>
        <w:pStyle w:val="2"/>
        <w:widowControl/>
        <w:spacing w:beforeAutospacing="0" w:afterAutospacing="0" w:line="0" w:lineRule="atLeast"/>
        <w:ind w:firstLine="872" w:firstLineChars="200"/>
        <w:jc w:val="center"/>
        <w:rPr>
          <w:rFonts w:hint="default" w:ascii="Times New Roman" w:hAnsi="Times New Roman" w:eastAsia="方正小标宋_GBK"/>
          <w:b w:val="0"/>
          <w:sz w:val="44"/>
          <w:szCs w:val="44"/>
        </w:rPr>
      </w:pPr>
      <w:r>
        <w:rPr>
          <w:rFonts w:ascii="Times New Roman" w:hAnsi="Times New Roman" w:eastAsia="方正小标宋_GBK"/>
          <w:b w:val="0"/>
          <w:sz w:val="44"/>
          <w:szCs w:val="44"/>
        </w:rPr>
        <w:t>产业自主创新攻关计划项目支持方向</w:t>
      </w:r>
    </w:p>
    <w:p>
      <w:pPr>
        <w:rPr>
          <w:rFonts w:eastAsia="方正黑体_GBK"/>
          <w:szCs w:val="32"/>
        </w:rPr>
      </w:pPr>
    </w:p>
    <w:p>
      <w:pPr>
        <w:numPr>
          <w:ilvl w:val="0"/>
          <w:numId w:val="2"/>
        </w:numPr>
        <w:spacing w:line="540" w:lineRule="exact"/>
        <w:ind w:firstLine="632" w:firstLineChars="200"/>
        <w:rPr>
          <w:rFonts w:hint="eastAsia" w:eastAsia="方正黑体_GBK" w:cs="方正楷体_GBK"/>
          <w:kern w:val="0"/>
          <w:szCs w:val="30"/>
        </w:rPr>
      </w:pPr>
      <w:r>
        <w:rPr>
          <w:rFonts w:hint="eastAsia" w:eastAsia="方正黑体_GBK" w:cs="方正楷体_GBK"/>
          <w:kern w:val="0"/>
          <w:szCs w:val="30"/>
        </w:rPr>
        <w:t>A类项目支持方向</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ascii="方正楷体_GBK" w:hAnsi="方正楷体_GBK" w:eastAsia="方正楷体_GBK" w:cs="方正楷体_GBK"/>
          <w:kern w:val="0"/>
          <w:szCs w:val="30"/>
          <w:lang w:val="en-US" w:eastAsia="zh-CN"/>
        </w:rPr>
      </w:pPr>
      <w:r>
        <w:rPr>
          <w:rFonts w:hint="eastAsia" w:ascii="方正楷体_GBK" w:hAnsi="方正楷体_GBK" w:eastAsia="方正楷体_GBK" w:cs="方正楷体_GBK"/>
          <w:kern w:val="0"/>
          <w:szCs w:val="30"/>
          <w:lang w:val="en-US" w:eastAsia="zh-CN"/>
        </w:rPr>
        <w:t>1、基于绿色节能工艺的高性能钢铁材料研发及产业化（发榜方：江阴兴澄特种钢铁有限公司）</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主要研究内容：</w:t>
      </w:r>
      <w:r>
        <w:rPr>
          <w:rFonts w:hint="eastAsia" w:eastAsia="方正仿宋_GBK" w:cs="Times New Roman"/>
          <w:kern w:val="0"/>
          <w:szCs w:val="30"/>
          <w:lang w:val="en-US" w:eastAsia="zh-CN"/>
        </w:rPr>
        <w:t>实现水浴代替盐浴、铅浴，开发2000MPa级及以上大桥缆索用盘条；实现连铸工艺代替模铸工艺，开发满足3MW-14MW风机的法兰、齿圈、轴承用最大达φ1200mm规格连铸圆坯；研发绿色钢铁材料：开发新型非调质钢替代调质钢；开发冷锻工艺用等温退火、球化退火齿轮钢代替热锻工艺用齿轮钢；开发高温渗碳环保型齿轮钢，缩短渗碳时间；开发屈服强度1100MPa级及以上高韧性低碳当量热轧超高强钢板。</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绩效目标：</w:t>
      </w:r>
      <w:r>
        <w:rPr>
          <w:rFonts w:hint="eastAsia" w:eastAsia="方正仿宋_GBK" w:cs="Times New Roman"/>
          <w:kern w:val="0"/>
          <w:szCs w:val="30"/>
          <w:lang w:val="en-US" w:eastAsia="zh-CN"/>
        </w:rPr>
        <w:t>①采用绿色环保型在线水浴冷却工艺，开发2000MPa级及以上超高强度桥梁缆索钢丝用热轧盘条，实现稳定生产，具备批量交付能力；钢丝扭转≥8次，缠绕8次不断裂。②开发风电机组关键及核心部件材料，低倍中心疏松≤1.5级，中心裂纹≤1.0级；纯净度高，确保锻后满足φ2mm当量超声波探伤（UT）要求。③研发绿色钢铁材料：新型非调质钢替代调质钢：抗拉强度≥850MPa；冷锻用等温退火/球化退火齿轮钢代替热锻用齿轮钢：等温状态: 组织F+P,同截面硬度极差≤15HBW；球化状态：球化率≥80%；开发高温渗碳环保型齿轮钢：满足≥960度4小时渗碳要求，晶粒细小均匀，渗碳时间较常规工艺缩短6-8小时。④完成屈服强度1100MPa级及以上高韧性低碳当量超高强钢板的开发，完成屈服强度1400MPa级超高强板的样板制备，实现1100MPa级高韧性超高强钢板国产化。⑤成果指标：申报国家专利10件，其中发明专利5件，制修订企业标准2项，发表论文4篇。</w:t>
      </w:r>
    </w:p>
    <w:p>
      <w:pPr>
        <w:spacing w:line="540" w:lineRule="exact"/>
        <w:ind w:firstLine="632" w:firstLineChars="200"/>
        <w:rPr>
          <w:rFonts w:hint="eastAsia" w:ascii="方正楷体_GBK" w:hAnsi="方正楷体_GBK" w:eastAsia="方正楷体_GBK" w:cs="方正楷体_GBK"/>
          <w:kern w:val="0"/>
          <w:szCs w:val="30"/>
          <w:lang w:val="en-US" w:eastAsia="zh-CN"/>
        </w:rPr>
      </w:pPr>
      <w:r>
        <w:rPr>
          <w:rFonts w:hint="eastAsia" w:ascii="方正楷体_GBK" w:hAnsi="方正楷体_GBK" w:eastAsia="方正楷体_GBK" w:cs="方正楷体_GBK"/>
          <w:kern w:val="0"/>
          <w:szCs w:val="30"/>
          <w:lang w:val="en-US" w:eastAsia="zh-CN"/>
        </w:rPr>
        <w:t>2、中深层地热能深度利用及多能源耦合互补供热关键技术研发及产业化（发榜方：双良节能系统股份有限公司）</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主要研究内容：</w:t>
      </w:r>
      <w:r>
        <w:rPr>
          <w:rFonts w:hint="eastAsia" w:eastAsia="方正仿宋_GBK" w:cs="Times New Roman"/>
          <w:kern w:val="0"/>
          <w:szCs w:val="30"/>
          <w:lang w:val="en-US" w:eastAsia="zh-CN"/>
        </w:rPr>
        <w:t>研究中深层地热能深度利用过程中地面高效换热装备及提效供热系统，研究以中深层地热能为主要能源的多种能源耦合互补供热系统。具体内容包括：高效工质蒸汽冷凝器及供热系统设计及优化、井下换热系统与地面供热系统热质平衡耦合、中深层地热宽负荷调节储热技术、中深层地热能与其他能源互补供热实时响应模型及策略。</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绩效指标：</w:t>
      </w:r>
      <w:r>
        <w:rPr>
          <w:rFonts w:hint="eastAsia" w:eastAsia="方正仿宋_GBK" w:cs="Times New Roman"/>
          <w:kern w:val="0"/>
          <w:szCs w:val="30"/>
          <w:lang w:val="en-US" w:eastAsia="zh-CN"/>
        </w:rPr>
        <w:t>2km以下中深层地热单井（井下换热）供热量≥500KW，热井直径≤400mm，中深层地热能供热系统COP≥4；地面多能源耦合互补供热系统配套储热系统储热材料环境友好，实现供热0-200%宽负荷调节；建立2km以下中深层地热能为主要能源的多能源互补供热示范工程1个，其中中深层地热能供热负荷占比≥70%，系统COP≥2，供热面积5万平米以上；按照负荷预测情况实时调节中深层地热能及其他能源供热匹配，响应时间≤30min；形成中深层地热能深度利用及多能源耦合互补供热企业标准1项，发明专利3项。</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ascii="方正楷体_GBK" w:hAnsi="方正楷体_GBK" w:eastAsia="方正楷体_GBK" w:cs="方正楷体_GBK"/>
          <w:kern w:val="0"/>
          <w:szCs w:val="30"/>
          <w:lang w:val="en-US" w:eastAsia="zh-CN"/>
        </w:rPr>
      </w:pPr>
      <w:r>
        <w:rPr>
          <w:rFonts w:hint="eastAsia" w:eastAsia="方正仿宋_GBK" w:cs="Times New Roman"/>
          <w:kern w:val="0"/>
          <w:szCs w:val="30"/>
          <w:lang w:val="en-US" w:eastAsia="zh-CN"/>
        </w:rPr>
        <w:t>3、</w:t>
      </w:r>
      <w:r>
        <w:rPr>
          <w:rFonts w:hint="eastAsia" w:ascii="方正楷体_GBK" w:hAnsi="方正楷体_GBK" w:eastAsia="方正楷体_GBK" w:cs="方正楷体_GBK"/>
          <w:kern w:val="0"/>
          <w:szCs w:val="30"/>
          <w:lang w:val="en-US" w:eastAsia="zh-CN"/>
        </w:rPr>
        <w:t>高效异质结太阳能电池技术开发及产业化应用（发榜方：中建材浚鑫科技有限公司）</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主要研究内容:</w:t>
      </w:r>
      <w:r>
        <w:rPr>
          <w:rFonts w:hint="eastAsia" w:eastAsia="方正仿宋_GBK" w:cs="Times New Roman"/>
          <w:kern w:val="0"/>
          <w:szCs w:val="30"/>
          <w:lang w:val="en-US" w:eastAsia="zh-CN"/>
        </w:rPr>
        <w:t xml:space="preserve"> 异质结电池效率优势明显，且工艺流程少，量产具备优势。本项目重点开展异质结太阳电池结构、小绒面陷光技术和硅基薄膜微机构及生长机理研，优化各非晶硅薄膜界面态密度、非晶硅/晶体硅界面修饰，制备高透过率和高迁移率的导电薄膜并开发低成本高性价比金属化电极工艺等，最终在N型硅基衬底上形成高效异质结太阳能电池。</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绩效目标：</w:t>
      </w:r>
      <w:r>
        <w:rPr>
          <w:rFonts w:hint="eastAsia" w:eastAsia="方正仿宋_GBK" w:cs="Times New Roman"/>
          <w:kern w:val="0"/>
          <w:szCs w:val="30"/>
          <w:lang w:val="en-US" w:eastAsia="zh-CN"/>
        </w:rPr>
        <w:t>通过对异质结电池的生产设备的安装调试、各工序工艺开发和整合，保证产线关键技术指标和产品参数符合整线设计指标，达到业内先进水平。①电池片效率：≥25.5%；②电池片规格：210mmX210mm；③双面率：≥90%；④光致衰减率：≤1%；⑤产能指标：年产能2G；⑥知识产权：申请发明专利2件；⑦电池产品性能：满足IEC61215、GB-T12632-1990、GB/T2296-2001等相关标准。</w:t>
      </w:r>
    </w:p>
    <w:p>
      <w:pPr>
        <w:spacing w:line="540" w:lineRule="exact"/>
        <w:ind w:firstLine="632" w:firstLineChars="200"/>
        <w:rPr>
          <w:rFonts w:hint="eastAsia" w:eastAsia="方正仿宋_GBK" w:cs="Times New Roman"/>
          <w:kern w:val="0"/>
          <w:szCs w:val="30"/>
          <w:lang w:val="en-US" w:eastAsia="zh-CN"/>
        </w:rPr>
      </w:pPr>
      <w:r>
        <w:rPr>
          <w:rFonts w:hint="eastAsia" w:eastAsia="方正仿宋_GBK" w:cs="Times New Roman"/>
          <w:kern w:val="0"/>
          <w:szCs w:val="30"/>
          <w:lang w:val="en-US" w:eastAsia="zh-CN"/>
        </w:rPr>
        <w:t>4、</w:t>
      </w:r>
      <w:r>
        <w:rPr>
          <w:rFonts w:hint="eastAsia" w:ascii="方正楷体_GBK" w:hAnsi="方正楷体_GBK" w:eastAsia="方正楷体_GBK" w:cs="方正楷体_GBK"/>
          <w:kern w:val="0"/>
          <w:szCs w:val="30"/>
          <w:lang w:val="en-US" w:eastAsia="zh-CN"/>
        </w:rPr>
        <w:t>高氨氮、高有机物、高硬度废水的全量化处理研发项目（发榜方：江苏坤奕环境工程有限公司）</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主要研究内容:</w:t>
      </w:r>
      <w:r>
        <w:rPr>
          <w:rFonts w:hint="eastAsia" w:eastAsia="方正仿宋_GBK" w:cs="Times New Roman"/>
          <w:kern w:val="0"/>
          <w:szCs w:val="30"/>
          <w:lang w:val="en-US" w:eastAsia="zh-CN"/>
        </w:rPr>
        <w:t xml:space="preserve"> 主要研究垃圾填埋场渗滤液浓液，垃圾焚烧发电厂渗滤液及工业废水等含高氨氮、高有机物、高硬度废水的全量化处理。开发出一套高效节能的废水全量化处理工艺，包括高效反渗透设备、物料膜的研发、电催化氧化催化剂及极板的研发以及高效节能蒸发系统的研发等。</w:t>
      </w:r>
    </w:p>
    <w:p>
      <w:pPr>
        <w:keepNext w:val="0"/>
        <w:keepLines w:val="0"/>
        <w:pageBreakBefore w:val="0"/>
        <w:widowControl w:val="0"/>
        <w:kinsoku/>
        <w:wordWrap/>
        <w:overflowPunct/>
        <w:topLinePunct w:val="0"/>
        <w:autoSpaceDE/>
        <w:autoSpaceDN/>
        <w:bidi w:val="0"/>
        <w:adjustRightInd/>
        <w:snapToGrid/>
        <w:spacing w:line="540" w:lineRule="exact"/>
        <w:ind w:firstLine="632" w:firstLineChars="200"/>
        <w:textAlignment w:val="auto"/>
        <w:rPr>
          <w:rFonts w:hint="eastAsia" w:eastAsia="方正仿宋_GBK" w:cs="Times New Roman"/>
          <w:kern w:val="0"/>
          <w:szCs w:val="30"/>
          <w:lang w:val="en-US" w:eastAsia="zh-CN"/>
        </w:rPr>
      </w:pPr>
      <w:r>
        <w:rPr>
          <w:rFonts w:hint="eastAsia" w:eastAsia="方正仿宋_GBK" w:cs="Times New Roman"/>
          <w:b/>
          <w:bCs/>
          <w:kern w:val="0"/>
          <w:szCs w:val="30"/>
          <w:lang w:val="en-US" w:eastAsia="zh-CN"/>
        </w:rPr>
        <w:t>绩效目标：</w:t>
      </w:r>
      <w:r>
        <w:rPr>
          <w:rFonts w:hint="eastAsia" w:eastAsia="方正仿宋_GBK" w:cs="Times New Roman"/>
          <w:kern w:val="0"/>
          <w:szCs w:val="30"/>
          <w:lang w:val="en-US" w:eastAsia="zh-CN"/>
        </w:rPr>
        <w:t>形成先进、高效节能的高氨氮、高有机物、高硬度废水的全量化处理工艺，解决目前废水全量化能耗较高，对主要污染物去除效果不佳的问题。另外提高系统的有效产水率，减少最终固体废弃物的排放量。该科研项目实现产业化可服务于渗滤液浓液、中水回用过程中的RO浓水的全量化处理以及资源化综合利用。主要指标达到：组合工艺系统产水至少达到CODCr&lt;100mg/L，NH3-N&lt;25mg/L，TN&lt;40mg/L，总汞&lt;0.001mg/L，总镉&lt;0.01mg/L，六价铬&lt;0.05mg/L，总砷&lt;0.1mg/L，总铅&lt;0.1mg/L的排放标准；形成单套系统日处理量不少于50吨/天的系统设备，实现标准化、模块化、集成化、智能化；工程现场实现高产率、高产能、高安全性、低能耗。以系统设备为基础建立多处全量化达标排放标杆项目案例；申请不少于2项发明专利，备案2项企业标准。</w:t>
      </w:r>
    </w:p>
    <w:p>
      <w:pPr>
        <w:numPr>
          <w:ilvl w:val="0"/>
          <w:numId w:val="2"/>
        </w:numPr>
        <w:spacing w:line="540" w:lineRule="exact"/>
        <w:ind w:firstLine="632" w:firstLineChars="200"/>
        <w:rPr>
          <w:rFonts w:eastAsia="方正黑体_GBK" w:cs="方正楷体_GBK"/>
          <w:kern w:val="0"/>
          <w:szCs w:val="30"/>
        </w:rPr>
      </w:pPr>
      <w:r>
        <w:rPr>
          <w:rFonts w:hint="eastAsia" w:eastAsia="方正黑体_GBK" w:cs="方正楷体_GBK"/>
          <w:kern w:val="0"/>
          <w:szCs w:val="30"/>
        </w:rPr>
        <w:t>B类、C类项目支持方向</w:t>
      </w:r>
    </w:p>
    <w:p>
      <w:pPr>
        <w:spacing w:line="540" w:lineRule="exact"/>
        <w:ind w:firstLine="632" w:firstLineChars="200"/>
        <w:rPr>
          <w:rFonts w:eastAsia="方正仿宋_GBK" w:cs="Times New Roman"/>
          <w:kern w:val="0"/>
          <w:szCs w:val="30"/>
        </w:rPr>
      </w:pPr>
      <w:r>
        <w:rPr>
          <w:rFonts w:hint="eastAsia" w:eastAsia="方正仿宋_GBK" w:cs="Times New Roman"/>
          <w:kern w:val="0"/>
          <w:szCs w:val="30"/>
        </w:rPr>
        <w:t>1．</w:t>
      </w:r>
      <w:r>
        <w:rPr>
          <w:rFonts w:hint="eastAsia" w:eastAsia="方正仿宋_GBK"/>
          <w:szCs w:val="32"/>
        </w:rPr>
        <w:t>电子信息</w:t>
      </w:r>
      <w:r>
        <w:rPr>
          <w:rFonts w:hint="eastAsia" w:eastAsia="方正仿宋_GBK"/>
          <w:szCs w:val="32"/>
          <w:lang w:eastAsia="zh-CN"/>
        </w:rPr>
        <w:t>：</w:t>
      </w:r>
      <w:r>
        <w:rPr>
          <w:rFonts w:hint="eastAsia" w:eastAsia="方正仿宋_GBK" w:cs="Times New Roman"/>
          <w:kern w:val="0"/>
          <w:szCs w:val="30"/>
        </w:rPr>
        <w:t>无线通信、传感器核心芯片、智能电机核心控制芯片、新一代功率器件、高密度封装测试、大数据关键技术与应用产品、新型光电显示核心器件及产品、超大规模集成电路、物联网、云计算和大数据、新型显示、半导体照明、智能控制关键技术与产品、基于人工智能的人机交互生物识别关键技术与产品等。</w:t>
      </w:r>
    </w:p>
    <w:p>
      <w:pPr>
        <w:ind w:firstLine="632" w:firstLineChars="200"/>
        <w:rPr>
          <w:rFonts w:eastAsia="方正仿宋_GBK" w:cs="Times New Roman"/>
          <w:kern w:val="0"/>
          <w:szCs w:val="30"/>
        </w:rPr>
      </w:pPr>
      <w:r>
        <w:rPr>
          <w:rFonts w:hint="eastAsia" w:eastAsia="方正仿宋_GBK" w:cs="Times New Roman"/>
          <w:kern w:val="0"/>
          <w:szCs w:val="30"/>
        </w:rPr>
        <w:t>2．生物医药：生物技术新药、化学新药、现代中药、生物试剂和芯片、医疗器械及生物材料、工业生物技术及工艺等。</w:t>
      </w:r>
    </w:p>
    <w:p>
      <w:pPr>
        <w:ind w:firstLine="632" w:firstLineChars="200"/>
        <w:rPr>
          <w:rFonts w:eastAsia="方正仿宋_GBK" w:cs="Times New Roman"/>
          <w:kern w:val="0"/>
          <w:szCs w:val="30"/>
        </w:rPr>
      </w:pPr>
      <w:r>
        <w:rPr>
          <w:rFonts w:hint="eastAsia" w:eastAsia="方正仿宋_GBK" w:cs="Times New Roman"/>
          <w:kern w:val="0"/>
          <w:szCs w:val="30"/>
        </w:rPr>
        <w:t>3．高端装备制造：高速高精度数控加工装备、工业机器人核心部件及成套装备、大型工程先进作业机械核心部件及装备、3D打印核心单元及主流工艺装备、柔性制造生产线等智能成套装备、海工装备、高技术船舶关键设备和配套系统、轨道交通车辆关键部件及其成套关键设备。</w:t>
      </w:r>
    </w:p>
    <w:p>
      <w:pPr>
        <w:ind w:firstLine="632" w:firstLineChars="200"/>
        <w:rPr>
          <w:rFonts w:eastAsia="方正仿宋_GBK" w:cs="Times New Roman"/>
          <w:kern w:val="0"/>
          <w:szCs w:val="30"/>
        </w:rPr>
      </w:pPr>
      <w:r>
        <w:rPr>
          <w:rFonts w:hint="eastAsia" w:eastAsia="方正仿宋_GBK" w:cs="Times New Roman"/>
          <w:kern w:val="0"/>
          <w:szCs w:val="30"/>
        </w:rPr>
        <w:t>4．新材料：高性能工程塑料、高性能纤维及复合材料、高端合金材料、纳米材料；半导体材料、新型显示材料、柔性电子材料、新型高分子材料、高性能绝热材料及其应用、新型生物医用材料、新一代纺织材料等。</w:t>
      </w:r>
    </w:p>
    <w:p>
      <w:pPr>
        <w:ind w:firstLine="632" w:firstLineChars="200"/>
        <w:rPr>
          <w:rFonts w:eastAsia="方正仿宋_GBK" w:cs="Times New Roman"/>
          <w:kern w:val="0"/>
          <w:szCs w:val="30"/>
        </w:rPr>
      </w:pPr>
      <w:r>
        <w:rPr>
          <w:rFonts w:hint="eastAsia" w:eastAsia="方正仿宋_GBK" w:cs="Times New Roman"/>
          <w:kern w:val="0"/>
          <w:szCs w:val="30"/>
        </w:rPr>
        <w:t>5．新能源：新能源汽车关键零部件及系统、智能电网关键技术控制及成套设备、高效风能利用关键零部件及系统集成、新型太阳能利用关键设备及装置系统、下一代核电关键设备及零部件等。</w:t>
      </w:r>
    </w:p>
    <w:p>
      <w:pPr>
        <w:ind w:firstLine="632" w:firstLineChars="200"/>
        <w:rPr>
          <w:rFonts w:eastAsia="方正仿宋_GBK" w:cs="Times New Roman"/>
          <w:kern w:val="0"/>
          <w:szCs w:val="30"/>
        </w:rPr>
      </w:pPr>
      <w:r>
        <w:rPr>
          <w:rFonts w:hint="eastAsia" w:eastAsia="方正仿宋_GBK" w:cs="Times New Roman"/>
          <w:kern w:val="0"/>
          <w:szCs w:val="30"/>
        </w:rPr>
        <w:t>6．节能环保</w:t>
      </w:r>
      <w:r>
        <w:rPr>
          <w:rFonts w:hint="eastAsia" w:eastAsia="方正仿宋_GBK" w:cs="Times New Roman"/>
          <w:kern w:val="0"/>
          <w:szCs w:val="30"/>
          <w:lang w:eastAsia="zh-CN"/>
        </w:rPr>
        <w:t>：</w:t>
      </w:r>
      <w:r>
        <w:rPr>
          <w:rFonts w:hint="eastAsia" w:eastAsia="方正仿宋_GBK" w:cs="Times New Roman"/>
          <w:kern w:val="0"/>
          <w:szCs w:val="30"/>
        </w:rPr>
        <w:t xml:space="preserve">废弃物资源化技术及装备、高效节能半导体照明关键核心设备、大气污染控制技术及装备、低能耗废水深度处理技术及装备、新型环境功能材料、高效节能环保装备等。 </w:t>
      </w:r>
    </w:p>
    <w:p>
      <w:pPr>
        <w:ind w:firstLine="632" w:firstLineChars="200"/>
        <w:rPr>
          <w:rFonts w:eastAsia="方正仿宋_GBK" w:cs="Times New Roman"/>
          <w:kern w:val="0"/>
          <w:szCs w:val="30"/>
        </w:rPr>
      </w:pPr>
      <w:r>
        <w:rPr>
          <w:rFonts w:hint="eastAsia" w:eastAsia="方正仿宋_GBK" w:cs="Times New Roman"/>
          <w:kern w:val="0"/>
          <w:szCs w:val="30"/>
        </w:rPr>
        <w:t>7．安全生产：基于大数据等先进技术的风险监测预警装备；危险化学品安全监管、安全生产预防控制等装备及系统；高灵敏生命探测设备、高机动抢险救援装备、高危环境作业机器人等应急救援专业装备等。</w:t>
      </w:r>
    </w:p>
    <w:p>
      <w:pPr>
        <w:rPr>
          <w:rFonts w:eastAsia="方正仿宋_GBK"/>
        </w:rPr>
      </w:pPr>
    </w:p>
    <w:p>
      <w:pPr>
        <w:ind w:firstLine="632" w:firstLineChars="200"/>
        <w:jc w:val="left"/>
        <w:rPr>
          <w:rFonts w:eastAsia="方正仿宋_GBK"/>
          <w:szCs w:val="32"/>
        </w:rPr>
      </w:pPr>
    </w:p>
    <w:p>
      <w:pPr>
        <w:ind w:left="316" w:leftChars="100" w:right="316" w:rightChars="100"/>
        <w:rPr>
          <w:rFonts w:eastAsia="方正仿宋_GBK"/>
          <w:sz w:val="21"/>
          <w:szCs w:val="21"/>
        </w:rPr>
      </w:pPr>
    </w:p>
    <w:sectPr>
      <w:footerReference r:id="rId6" w:type="default"/>
      <w:footerReference r:id="rId7" w:type="even"/>
      <w:pgSz w:w="11906" w:h="16838"/>
      <w:pgMar w:top="2098" w:right="1474" w:bottom="1985" w:left="1588" w:header="851" w:footer="1474" w:gutter="0"/>
      <w:cols w:space="720"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right="320" w:rightChars="100"/>
      <w:jc w:val="right"/>
      <w:rPr>
        <w:rFonts w:asciiTheme="minorEastAsia" w:hAnsiTheme="minorEastAsia" w:eastAsiaTheme="minorEastAsia"/>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snapToGrid/>
                            <w:ind w:right="320" w:rightChars="100"/>
                            <w:jc w:val="right"/>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lang w:val="zh-CN"/>
                            </w:rPr>
                            <w:t xml:space="preserve"> </w:t>
                          </w:r>
                          <w:r>
                            <w:rPr>
                              <w:rFonts w:cs="Times New Roman" w:asciiTheme="minorEastAsia" w:hAnsiTheme="minorEastAsia" w:eastAsiaTheme="minorEastAsia"/>
                              <w:sz w:val="28"/>
                              <w:szCs w:val="28"/>
                            </w:rPr>
                            <w:fldChar w:fldCharType="begin"/>
                          </w:r>
                          <w:r>
                            <w:rPr>
                              <w:rFonts w:cs="Times New Roman" w:asciiTheme="minorEastAsia" w:hAnsiTheme="minorEastAsia" w:eastAsiaTheme="minorEastAsia"/>
                              <w:sz w:val="28"/>
                              <w:szCs w:val="28"/>
                            </w:rPr>
                            <w:instrText xml:space="preserve"> PAGE    \* MERGEFORMAT </w:instrText>
                          </w:r>
                          <w:r>
                            <w:rPr>
                              <w:rFonts w:cs="Times New Roman" w:asciiTheme="minorEastAsia" w:hAnsiTheme="minorEastAsia" w:eastAsiaTheme="minorEastAsia"/>
                              <w:sz w:val="28"/>
                              <w:szCs w:val="28"/>
                            </w:rPr>
                            <w:fldChar w:fldCharType="separate"/>
                          </w:r>
                          <w:r>
                            <w:rPr>
                              <w:rFonts w:cs="Times New Roman" w:asciiTheme="minorEastAsia" w:hAnsiTheme="minorEastAsia" w:eastAsiaTheme="minorEastAsia"/>
                              <w:sz w:val="28"/>
                              <w:szCs w:val="28"/>
                              <w:lang w:val="zh-CN"/>
                            </w:rPr>
                            <w:t>1</w:t>
                          </w:r>
                          <w:r>
                            <w:rPr>
                              <w:rFonts w:cs="Times New Roman" w:asciiTheme="minorEastAsia" w:hAnsiTheme="minorEastAsia" w:eastAsiaTheme="minorEastAsia"/>
                              <w:sz w:val="28"/>
                              <w:szCs w:val="28"/>
                            </w:rPr>
                            <w:fldChar w:fldCharType="end"/>
                          </w:r>
                          <w:r>
                            <w:rPr>
                              <w:rFonts w:cs="Times New Roman" w:asciiTheme="minorEastAsia" w:hAnsiTheme="minorEastAsia" w:eastAsiaTheme="minorEastAsia"/>
                              <w:sz w:val="28"/>
                              <w:szCs w:val="28"/>
                              <w:lang w:val="zh-CN"/>
                            </w:rPr>
                            <w:t xml:space="preserve"> </w:t>
                          </w:r>
                          <w:r>
                            <w:rPr>
                              <w:rFonts w:hint="eastAsia" w:asciiTheme="minorEastAsia" w:hAnsiTheme="minorEastAsia" w:eastAsiaTheme="minorEastAsia"/>
                              <w:sz w:val="28"/>
                              <w:szCs w:val="28"/>
                              <w:lang w:val="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5"/>
                      <w:snapToGrid/>
                      <w:ind w:right="320" w:rightChars="100"/>
                      <w:jc w:val="right"/>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lang w:val="zh-CN"/>
                      </w:rPr>
                      <w:t xml:space="preserve"> </w:t>
                    </w:r>
                    <w:r>
                      <w:rPr>
                        <w:rFonts w:cs="Times New Roman" w:asciiTheme="minorEastAsia" w:hAnsiTheme="minorEastAsia" w:eastAsiaTheme="minorEastAsia"/>
                        <w:sz w:val="28"/>
                        <w:szCs w:val="28"/>
                      </w:rPr>
                      <w:fldChar w:fldCharType="begin"/>
                    </w:r>
                    <w:r>
                      <w:rPr>
                        <w:rFonts w:cs="Times New Roman" w:asciiTheme="minorEastAsia" w:hAnsiTheme="minorEastAsia" w:eastAsiaTheme="minorEastAsia"/>
                        <w:sz w:val="28"/>
                        <w:szCs w:val="28"/>
                      </w:rPr>
                      <w:instrText xml:space="preserve"> PAGE    \* MERGEFORMAT </w:instrText>
                    </w:r>
                    <w:r>
                      <w:rPr>
                        <w:rFonts w:cs="Times New Roman" w:asciiTheme="minorEastAsia" w:hAnsiTheme="minorEastAsia" w:eastAsiaTheme="minorEastAsia"/>
                        <w:sz w:val="28"/>
                        <w:szCs w:val="28"/>
                      </w:rPr>
                      <w:fldChar w:fldCharType="separate"/>
                    </w:r>
                    <w:r>
                      <w:rPr>
                        <w:rFonts w:cs="Times New Roman" w:asciiTheme="minorEastAsia" w:hAnsiTheme="minorEastAsia" w:eastAsiaTheme="minorEastAsia"/>
                        <w:sz w:val="28"/>
                        <w:szCs w:val="28"/>
                        <w:lang w:val="zh-CN"/>
                      </w:rPr>
                      <w:t>1</w:t>
                    </w:r>
                    <w:r>
                      <w:rPr>
                        <w:rFonts w:cs="Times New Roman" w:asciiTheme="minorEastAsia" w:hAnsiTheme="minorEastAsia" w:eastAsiaTheme="minorEastAsia"/>
                        <w:sz w:val="28"/>
                        <w:szCs w:val="28"/>
                      </w:rPr>
                      <w:fldChar w:fldCharType="end"/>
                    </w:r>
                    <w:r>
                      <w:rPr>
                        <w:rFonts w:cs="Times New Roman" w:asciiTheme="minorEastAsia" w:hAnsiTheme="minorEastAsia" w:eastAsiaTheme="minorEastAsia"/>
                        <w:sz w:val="28"/>
                        <w:szCs w:val="28"/>
                        <w:lang w:val="zh-CN"/>
                      </w:rPr>
                      <w:t xml:space="preserve"> </w:t>
                    </w:r>
                    <w:r>
                      <w:rPr>
                        <w:rFonts w:hint="eastAsia" w:asciiTheme="minorEastAsia" w:hAnsiTheme="minorEastAsia" w:eastAsiaTheme="minorEastAsia"/>
                        <w:sz w:val="28"/>
                        <w:szCs w:val="28"/>
                        <w:lang w:val="zh-CN"/>
                      </w:rPr>
                      <w:t>—</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left="320" w:leftChars="100" w:right="320" w:rightChars="100"/>
      <w:rPr>
        <w:rFonts w:asciiTheme="minorEastAsia" w:hAnsiTheme="minorEastAsia" w:eastAsiaTheme="minorEastAsia"/>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snapToGrid/>
                            <w:ind w:left="320" w:leftChars="100" w:right="320" w:rightChars="100"/>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lang w:val="zh-CN"/>
                            </w:rPr>
                            <w:t xml:space="preserve"> </w:t>
                          </w:r>
                          <w:r>
                            <w:rPr>
                              <w:rFonts w:cs="Times New Roman" w:asciiTheme="minorEastAsia" w:hAnsiTheme="minorEastAsia" w:eastAsiaTheme="minorEastAsia"/>
                              <w:sz w:val="28"/>
                              <w:szCs w:val="28"/>
                            </w:rPr>
                            <w:fldChar w:fldCharType="begin"/>
                          </w:r>
                          <w:r>
                            <w:rPr>
                              <w:rFonts w:cs="Times New Roman" w:asciiTheme="minorEastAsia" w:hAnsiTheme="minorEastAsia" w:eastAsiaTheme="minorEastAsia"/>
                              <w:sz w:val="28"/>
                              <w:szCs w:val="28"/>
                            </w:rPr>
                            <w:instrText xml:space="preserve"> PAGE    \* MERGEFORMAT </w:instrText>
                          </w:r>
                          <w:r>
                            <w:rPr>
                              <w:rFonts w:cs="Times New Roman" w:asciiTheme="minorEastAsia" w:hAnsiTheme="minorEastAsia" w:eastAsiaTheme="minorEastAsia"/>
                              <w:sz w:val="28"/>
                              <w:szCs w:val="28"/>
                            </w:rPr>
                            <w:fldChar w:fldCharType="separate"/>
                          </w:r>
                          <w:r>
                            <w:rPr>
                              <w:rFonts w:cs="Times New Roman" w:asciiTheme="minorEastAsia" w:hAnsiTheme="minorEastAsia" w:eastAsiaTheme="minorEastAsia"/>
                              <w:sz w:val="28"/>
                              <w:szCs w:val="28"/>
                              <w:lang w:val="zh-CN"/>
                            </w:rPr>
                            <w:t>2</w:t>
                          </w:r>
                          <w:r>
                            <w:rPr>
                              <w:rFonts w:cs="Times New Roman" w:asciiTheme="minorEastAsia" w:hAnsiTheme="minorEastAsia" w:eastAsiaTheme="minorEastAsia"/>
                              <w:sz w:val="28"/>
                              <w:szCs w:val="28"/>
                            </w:rPr>
                            <w:fldChar w:fldCharType="end"/>
                          </w:r>
                          <w:r>
                            <w:rPr>
                              <w:rFonts w:cs="Times New Roman" w:asciiTheme="minorEastAsia" w:hAnsiTheme="minorEastAsia" w:eastAsiaTheme="minorEastAsia"/>
                              <w:sz w:val="28"/>
                              <w:szCs w:val="28"/>
                              <w:lang w:val="zh-CN"/>
                            </w:rPr>
                            <w:t xml:space="preserve"> </w:t>
                          </w:r>
                          <w:r>
                            <w:rPr>
                              <w:rFonts w:hint="eastAsia" w:asciiTheme="minorEastAsia" w:hAnsiTheme="minorEastAsia" w:eastAsiaTheme="minorEastAsia"/>
                              <w:sz w:val="28"/>
                              <w:szCs w:val="28"/>
                              <w:lang w:val="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fyKa93AIAACQGAAAOAAAAAAAAAAEAIAAAAB8BAABkcnMvZTJvRG9jLnhtbFBLBQYA&#10;AAAABgAGAFkBAABtBgAAAAA=&#10;">
              <v:fill on="f" focussize="0,0"/>
              <v:stroke on="f" weight="0.5pt"/>
              <v:imagedata o:title=""/>
              <o:lock v:ext="edit" aspectratio="f"/>
              <v:textbox inset="0mm,0mm,0mm,0mm" style="mso-fit-shape-to-text:t;">
                <w:txbxContent>
                  <w:p>
                    <w:pPr>
                      <w:pStyle w:val="5"/>
                      <w:snapToGrid/>
                      <w:ind w:left="320" w:leftChars="100" w:right="320" w:rightChars="100"/>
                    </w:pPr>
                    <w:r>
                      <w:rPr>
                        <w:rFonts w:hint="eastAsia" w:asciiTheme="minorEastAsia" w:hAnsiTheme="minorEastAsia" w:eastAsiaTheme="minorEastAsia"/>
                        <w:sz w:val="28"/>
                        <w:szCs w:val="28"/>
                        <w:lang w:val="zh-CN"/>
                      </w:rPr>
                      <w:t>—</w:t>
                    </w:r>
                    <w:r>
                      <w:rPr>
                        <w:rFonts w:asciiTheme="minorEastAsia" w:hAnsiTheme="minorEastAsia" w:eastAsiaTheme="minorEastAsia"/>
                        <w:sz w:val="28"/>
                        <w:szCs w:val="28"/>
                        <w:lang w:val="zh-CN"/>
                      </w:rPr>
                      <w:t xml:space="preserve"> </w:t>
                    </w:r>
                    <w:r>
                      <w:rPr>
                        <w:rFonts w:cs="Times New Roman" w:asciiTheme="minorEastAsia" w:hAnsiTheme="minorEastAsia" w:eastAsiaTheme="minorEastAsia"/>
                        <w:sz w:val="28"/>
                        <w:szCs w:val="28"/>
                      </w:rPr>
                      <w:fldChar w:fldCharType="begin"/>
                    </w:r>
                    <w:r>
                      <w:rPr>
                        <w:rFonts w:cs="Times New Roman" w:asciiTheme="minorEastAsia" w:hAnsiTheme="minorEastAsia" w:eastAsiaTheme="minorEastAsia"/>
                        <w:sz w:val="28"/>
                        <w:szCs w:val="28"/>
                      </w:rPr>
                      <w:instrText xml:space="preserve"> PAGE    \* MERGEFORMAT </w:instrText>
                    </w:r>
                    <w:r>
                      <w:rPr>
                        <w:rFonts w:cs="Times New Roman" w:asciiTheme="minorEastAsia" w:hAnsiTheme="minorEastAsia" w:eastAsiaTheme="minorEastAsia"/>
                        <w:sz w:val="28"/>
                        <w:szCs w:val="28"/>
                      </w:rPr>
                      <w:fldChar w:fldCharType="separate"/>
                    </w:r>
                    <w:r>
                      <w:rPr>
                        <w:rFonts w:cs="Times New Roman" w:asciiTheme="minorEastAsia" w:hAnsiTheme="minorEastAsia" w:eastAsiaTheme="minorEastAsia"/>
                        <w:sz w:val="28"/>
                        <w:szCs w:val="28"/>
                        <w:lang w:val="zh-CN"/>
                      </w:rPr>
                      <w:t>2</w:t>
                    </w:r>
                    <w:r>
                      <w:rPr>
                        <w:rFonts w:cs="Times New Roman" w:asciiTheme="minorEastAsia" w:hAnsiTheme="minorEastAsia" w:eastAsiaTheme="minorEastAsia"/>
                        <w:sz w:val="28"/>
                        <w:szCs w:val="28"/>
                      </w:rPr>
                      <w:fldChar w:fldCharType="end"/>
                    </w:r>
                    <w:r>
                      <w:rPr>
                        <w:rFonts w:cs="Times New Roman" w:asciiTheme="minorEastAsia" w:hAnsiTheme="minorEastAsia" w:eastAsiaTheme="minorEastAsia"/>
                        <w:sz w:val="28"/>
                        <w:szCs w:val="28"/>
                        <w:lang w:val="zh-CN"/>
                      </w:rPr>
                      <w:t xml:space="preserve"> </w:t>
                    </w:r>
                    <w:r>
                      <w:rPr>
                        <w:rFonts w:hint="eastAsia" w:asciiTheme="minorEastAsia" w:hAnsiTheme="minorEastAsia" w:eastAsiaTheme="minorEastAsia"/>
                        <w:sz w:val="28"/>
                        <w:szCs w:val="28"/>
                        <w:lang w:val="zh-CN"/>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right="320" w:rightChars="100"/>
      <w:jc w:val="right"/>
      <w:rPr>
        <w:rFonts w:asciiTheme="minorEastAsia" w:hAnsiTheme="minorEastAsia" w:eastAsiaTheme="minorEastAsia"/>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UuKWy90CAAAkBgAADgAAAAAAAAABACAAAAAfAQAAZHJzL2Uyb0RvYy54bWxQSwUG&#10;AAAAAAYABgBZAQAAbgY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napToGrid/>
      <w:ind w:left="320" w:leftChars="100" w:right="320" w:rightChars="100"/>
      <w:rPr>
        <w:rFonts w:asciiTheme="minorEastAsia" w:hAnsiTheme="minorEastAsia" w:eastAsiaTheme="minorEastAsia"/>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14</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5F56B6"/>
    <w:multiLevelType w:val="singleLevel"/>
    <w:tmpl w:val="B95F56B6"/>
    <w:lvl w:ilvl="0" w:tentative="0">
      <w:start w:val="1"/>
      <w:numFmt w:val="chineseCounting"/>
      <w:suff w:val="nothing"/>
      <w:lvlText w:val="%1、"/>
      <w:lvlJc w:val="left"/>
      <w:rPr>
        <w:rFonts w:hint="eastAsia"/>
      </w:rPr>
    </w:lvl>
  </w:abstractNum>
  <w:abstractNum w:abstractNumId="1">
    <w:nsid w:val="1A888BEC"/>
    <w:multiLevelType w:val="singleLevel"/>
    <w:tmpl w:val="1A888BEC"/>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mirrorMargins w:val="1"/>
  <w:bordersDoNotSurroundHeader w:val="1"/>
  <w:bordersDoNotSurroundFooter w:val="1"/>
  <w:documentProtection w:enforcement="0"/>
  <w:defaultTabStop w:val="420"/>
  <w:evenAndOddHeaders w:val="1"/>
  <w:drawingGridHorizontalSpacing w:val="158"/>
  <w:drawingGridVerticalSpacing w:val="579"/>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46B0"/>
    <w:rsid w:val="00054D1E"/>
    <w:rsid w:val="000846A6"/>
    <w:rsid w:val="000A6D20"/>
    <w:rsid w:val="000C1906"/>
    <w:rsid w:val="000C3664"/>
    <w:rsid w:val="000D1F9D"/>
    <w:rsid w:val="000D428F"/>
    <w:rsid w:val="000E23E2"/>
    <w:rsid w:val="00120D73"/>
    <w:rsid w:val="00125613"/>
    <w:rsid w:val="001401B1"/>
    <w:rsid w:val="00141E7A"/>
    <w:rsid w:val="001539B6"/>
    <w:rsid w:val="001E2CD4"/>
    <w:rsid w:val="001F7A19"/>
    <w:rsid w:val="00221326"/>
    <w:rsid w:val="00237FA4"/>
    <w:rsid w:val="00241542"/>
    <w:rsid w:val="00260652"/>
    <w:rsid w:val="002648F2"/>
    <w:rsid w:val="00281520"/>
    <w:rsid w:val="00283FF0"/>
    <w:rsid w:val="002B1D5B"/>
    <w:rsid w:val="002D4F9F"/>
    <w:rsid w:val="002E112F"/>
    <w:rsid w:val="002F6DAB"/>
    <w:rsid w:val="00323CD6"/>
    <w:rsid w:val="00353F7D"/>
    <w:rsid w:val="00367CB6"/>
    <w:rsid w:val="00393702"/>
    <w:rsid w:val="003A0F2E"/>
    <w:rsid w:val="003B5979"/>
    <w:rsid w:val="003D5985"/>
    <w:rsid w:val="00430346"/>
    <w:rsid w:val="0047166E"/>
    <w:rsid w:val="00494D0B"/>
    <w:rsid w:val="004B1C19"/>
    <w:rsid w:val="004D1228"/>
    <w:rsid w:val="00521F56"/>
    <w:rsid w:val="00523A5D"/>
    <w:rsid w:val="005305AD"/>
    <w:rsid w:val="00537549"/>
    <w:rsid w:val="005426CE"/>
    <w:rsid w:val="005A2CF9"/>
    <w:rsid w:val="005C03BE"/>
    <w:rsid w:val="005C1FA6"/>
    <w:rsid w:val="00611805"/>
    <w:rsid w:val="0061735A"/>
    <w:rsid w:val="00620CFC"/>
    <w:rsid w:val="00690373"/>
    <w:rsid w:val="00691EAA"/>
    <w:rsid w:val="006A1C93"/>
    <w:rsid w:val="006B6603"/>
    <w:rsid w:val="006D697F"/>
    <w:rsid w:val="006F2A48"/>
    <w:rsid w:val="00751272"/>
    <w:rsid w:val="00775A1F"/>
    <w:rsid w:val="007A7413"/>
    <w:rsid w:val="007B28CC"/>
    <w:rsid w:val="007B5DD0"/>
    <w:rsid w:val="007E2D56"/>
    <w:rsid w:val="00816BAA"/>
    <w:rsid w:val="008220BD"/>
    <w:rsid w:val="00836B1A"/>
    <w:rsid w:val="008535F7"/>
    <w:rsid w:val="00893854"/>
    <w:rsid w:val="008B2451"/>
    <w:rsid w:val="008B3294"/>
    <w:rsid w:val="00932507"/>
    <w:rsid w:val="009446B0"/>
    <w:rsid w:val="00970312"/>
    <w:rsid w:val="00986B5B"/>
    <w:rsid w:val="009D71D9"/>
    <w:rsid w:val="00A17591"/>
    <w:rsid w:val="00A6551F"/>
    <w:rsid w:val="00A92B22"/>
    <w:rsid w:val="00A97714"/>
    <w:rsid w:val="00AB6223"/>
    <w:rsid w:val="00AE556F"/>
    <w:rsid w:val="00AF7865"/>
    <w:rsid w:val="00B177D8"/>
    <w:rsid w:val="00B414A4"/>
    <w:rsid w:val="00B507FA"/>
    <w:rsid w:val="00B72C9F"/>
    <w:rsid w:val="00B76A6D"/>
    <w:rsid w:val="00B822AD"/>
    <w:rsid w:val="00B87866"/>
    <w:rsid w:val="00B950CA"/>
    <w:rsid w:val="00B97439"/>
    <w:rsid w:val="00BA102A"/>
    <w:rsid w:val="00BA288C"/>
    <w:rsid w:val="00BB19BE"/>
    <w:rsid w:val="00BC3425"/>
    <w:rsid w:val="00BC60EC"/>
    <w:rsid w:val="00BD1D5F"/>
    <w:rsid w:val="00BF299F"/>
    <w:rsid w:val="00C05847"/>
    <w:rsid w:val="00C37FDD"/>
    <w:rsid w:val="00C44BDA"/>
    <w:rsid w:val="00C53A6D"/>
    <w:rsid w:val="00C75DA2"/>
    <w:rsid w:val="00C86A53"/>
    <w:rsid w:val="00C901E9"/>
    <w:rsid w:val="00CD4B55"/>
    <w:rsid w:val="00CE1CD6"/>
    <w:rsid w:val="00D14C27"/>
    <w:rsid w:val="00D37F87"/>
    <w:rsid w:val="00D446E9"/>
    <w:rsid w:val="00D57404"/>
    <w:rsid w:val="00D80DEB"/>
    <w:rsid w:val="00D860DA"/>
    <w:rsid w:val="00DD0490"/>
    <w:rsid w:val="00E06AB6"/>
    <w:rsid w:val="00E2108C"/>
    <w:rsid w:val="00E24FF7"/>
    <w:rsid w:val="00E73241"/>
    <w:rsid w:val="00E759F0"/>
    <w:rsid w:val="00E81D1D"/>
    <w:rsid w:val="00E91204"/>
    <w:rsid w:val="00E9248B"/>
    <w:rsid w:val="00E96B59"/>
    <w:rsid w:val="00EC2ED9"/>
    <w:rsid w:val="00EE6960"/>
    <w:rsid w:val="00F26A90"/>
    <w:rsid w:val="00F27998"/>
    <w:rsid w:val="00F33BA5"/>
    <w:rsid w:val="00F84A69"/>
    <w:rsid w:val="00FB01F4"/>
    <w:rsid w:val="00FF075E"/>
    <w:rsid w:val="00FF650F"/>
    <w:rsid w:val="01273ECC"/>
    <w:rsid w:val="015F612A"/>
    <w:rsid w:val="01AB6582"/>
    <w:rsid w:val="03760425"/>
    <w:rsid w:val="084D0246"/>
    <w:rsid w:val="0AE42E99"/>
    <w:rsid w:val="0AF84820"/>
    <w:rsid w:val="0BC42554"/>
    <w:rsid w:val="0C1021C1"/>
    <w:rsid w:val="0D994844"/>
    <w:rsid w:val="0DA63751"/>
    <w:rsid w:val="0EEF7161"/>
    <w:rsid w:val="0FF54122"/>
    <w:rsid w:val="11C351C1"/>
    <w:rsid w:val="11EC2998"/>
    <w:rsid w:val="12A479D5"/>
    <w:rsid w:val="16124BAC"/>
    <w:rsid w:val="17F54794"/>
    <w:rsid w:val="18036683"/>
    <w:rsid w:val="1A045BA1"/>
    <w:rsid w:val="21941EF8"/>
    <w:rsid w:val="24B01940"/>
    <w:rsid w:val="256D42CE"/>
    <w:rsid w:val="26C10671"/>
    <w:rsid w:val="26C75972"/>
    <w:rsid w:val="27134E7C"/>
    <w:rsid w:val="2BA27F6D"/>
    <w:rsid w:val="2C5678CC"/>
    <w:rsid w:val="2E0755E9"/>
    <w:rsid w:val="2E5B76E0"/>
    <w:rsid w:val="2FC96E06"/>
    <w:rsid w:val="35E35A1D"/>
    <w:rsid w:val="38573AD1"/>
    <w:rsid w:val="397E6AD1"/>
    <w:rsid w:val="3BD46600"/>
    <w:rsid w:val="3F643031"/>
    <w:rsid w:val="44827861"/>
    <w:rsid w:val="45324668"/>
    <w:rsid w:val="45F62D82"/>
    <w:rsid w:val="467866EB"/>
    <w:rsid w:val="46910F7F"/>
    <w:rsid w:val="475B0673"/>
    <w:rsid w:val="47E032A2"/>
    <w:rsid w:val="485D2C35"/>
    <w:rsid w:val="498B4612"/>
    <w:rsid w:val="4E3E0F0F"/>
    <w:rsid w:val="50811ED0"/>
    <w:rsid w:val="510F4D67"/>
    <w:rsid w:val="51D03CCA"/>
    <w:rsid w:val="532617B5"/>
    <w:rsid w:val="54144B0A"/>
    <w:rsid w:val="5499656F"/>
    <w:rsid w:val="567A13E7"/>
    <w:rsid w:val="57F57DB6"/>
    <w:rsid w:val="5A277D8E"/>
    <w:rsid w:val="5B1C03B4"/>
    <w:rsid w:val="5B5D3919"/>
    <w:rsid w:val="5CBA1A25"/>
    <w:rsid w:val="5D5B65EF"/>
    <w:rsid w:val="5DD8624D"/>
    <w:rsid w:val="60800342"/>
    <w:rsid w:val="623208DC"/>
    <w:rsid w:val="624119CF"/>
    <w:rsid w:val="62A05311"/>
    <w:rsid w:val="657A0BCA"/>
    <w:rsid w:val="65D819C0"/>
    <w:rsid w:val="66897F02"/>
    <w:rsid w:val="672077F0"/>
    <w:rsid w:val="680C4D5F"/>
    <w:rsid w:val="68791978"/>
    <w:rsid w:val="691C1275"/>
    <w:rsid w:val="6A5A79BF"/>
    <w:rsid w:val="6B865404"/>
    <w:rsid w:val="6DDA49EC"/>
    <w:rsid w:val="6EF47D13"/>
    <w:rsid w:val="70C93F3A"/>
    <w:rsid w:val="714D1A99"/>
    <w:rsid w:val="72182E47"/>
    <w:rsid w:val="72BD28E8"/>
    <w:rsid w:val="72BE3981"/>
    <w:rsid w:val="741340E8"/>
    <w:rsid w:val="74D33546"/>
    <w:rsid w:val="7A4310C1"/>
    <w:rsid w:val="7B9D6436"/>
    <w:rsid w:val="7BAC7E5B"/>
    <w:rsid w:val="7CDA7439"/>
    <w:rsid w:val="7E187B6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heme="minorBidi"/>
      <w:kern w:val="2"/>
      <w:sz w:val="32"/>
      <w:szCs w:val="22"/>
      <w:lang w:val="en-US" w:eastAsia="zh-CN" w:bidi="ar-SA"/>
    </w:rPr>
  </w:style>
  <w:style w:type="paragraph" w:styleId="2">
    <w:name w:val="heading 2"/>
    <w:basedOn w:val="1"/>
    <w:next w:val="1"/>
    <w:link w:val="15"/>
    <w:semiHidden/>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Normal Indent"/>
    <w:basedOn w:val="1"/>
    <w:semiHidden/>
    <w:unhideWhenUsed/>
    <w:qFormat/>
    <w:uiPriority w:val="99"/>
    <w:pPr>
      <w:ind w:firstLine="420" w:firstLineChars="200"/>
    </w:pPr>
  </w:style>
  <w:style w:type="paragraph" w:styleId="4">
    <w:name w:val="Date"/>
    <w:basedOn w:val="1"/>
    <w:next w:val="1"/>
    <w:link w:val="14"/>
    <w:semiHidden/>
    <w:unhideWhenUsed/>
    <w:qFormat/>
    <w:uiPriority w:val="99"/>
    <w:pPr>
      <w:ind w:left="100" w:leftChars="2500"/>
    </w:p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pPr>
      <w:spacing w:beforeAutospacing="1" w:afterAutospacing="1"/>
      <w:jc w:val="left"/>
    </w:pPr>
    <w:rPr>
      <w:rFonts w:cs="Times New Roman"/>
      <w:kern w:val="0"/>
      <w:sz w:val="24"/>
    </w:rPr>
  </w:style>
  <w:style w:type="character" w:customStyle="1" w:styleId="10">
    <w:name w:val="页眉 Char"/>
    <w:basedOn w:val="9"/>
    <w:link w:val="6"/>
    <w:semiHidden/>
    <w:qFormat/>
    <w:uiPriority w:val="99"/>
    <w:rPr>
      <w:sz w:val="18"/>
      <w:szCs w:val="18"/>
    </w:rPr>
  </w:style>
  <w:style w:type="character" w:customStyle="1" w:styleId="11">
    <w:name w:val="页脚 Char"/>
    <w:basedOn w:val="9"/>
    <w:link w:val="5"/>
    <w:qFormat/>
    <w:uiPriority w:val="99"/>
    <w:rPr>
      <w:sz w:val="18"/>
      <w:szCs w:val="18"/>
    </w:rPr>
  </w:style>
  <w:style w:type="paragraph" w:customStyle="1" w:styleId="12">
    <w:name w:val="印发栏"/>
    <w:basedOn w:val="3"/>
    <w:qFormat/>
    <w:uiPriority w:val="0"/>
    <w:pPr>
      <w:tabs>
        <w:tab w:val="right" w:pos="8465"/>
      </w:tabs>
      <w:autoSpaceDE w:val="0"/>
      <w:autoSpaceDN w:val="0"/>
      <w:adjustRightInd w:val="0"/>
      <w:spacing w:line="454" w:lineRule="atLeast"/>
      <w:ind w:left="357" w:right="357" w:firstLine="0" w:firstLineChars="0"/>
      <w:jc w:val="left"/>
    </w:pPr>
    <w:rPr>
      <w:rFonts w:eastAsia="方正仿宋_GBK" w:cs="Times New Roman"/>
      <w:kern w:val="32"/>
      <w:szCs w:val="20"/>
    </w:rPr>
  </w:style>
  <w:style w:type="paragraph" w:customStyle="1" w:styleId="13">
    <w:name w:val="紧急程度"/>
    <w:basedOn w:val="1"/>
    <w:qFormat/>
    <w:uiPriority w:val="0"/>
    <w:pPr>
      <w:overflowPunct w:val="0"/>
      <w:autoSpaceDE w:val="0"/>
      <w:autoSpaceDN w:val="0"/>
      <w:adjustRightInd w:val="0"/>
      <w:snapToGrid w:val="0"/>
      <w:spacing w:line="440" w:lineRule="atLeast"/>
      <w:jc w:val="right"/>
    </w:pPr>
    <w:rPr>
      <w:rFonts w:ascii="黑体" w:eastAsia="黑体" w:cs="Times New Roman"/>
      <w:kern w:val="0"/>
      <w:szCs w:val="20"/>
    </w:rPr>
  </w:style>
  <w:style w:type="character" w:customStyle="1" w:styleId="14">
    <w:name w:val="日期 Char"/>
    <w:basedOn w:val="9"/>
    <w:link w:val="4"/>
    <w:semiHidden/>
    <w:qFormat/>
    <w:uiPriority w:val="99"/>
    <w:rPr>
      <w:rFonts w:eastAsia="仿宋_GB2312" w:cstheme="minorBidi"/>
      <w:kern w:val="2"/>
      <w:sz w:val="32"/>
      <w:szCs w:val="22"/>
    </w:rPr>
  </w:style>
  <w:style w:type="character" w:customStyle="1" w:styleId="15">
    <w:name w:val="标题 2 Char"/>
    <w:basedOn w:val="9"/>
    <w:link w:val="2"/>
    <w:semiHidden/>
    <w:qFormat/>
    <w:uiPriority w:val="0"/>
    <w:rPr>
      <w:rFonts w:ascii="宋体" w:hAnsi="宋体"/>
      <w:b/>
      <w:sz w:val="36"/>
      <w:szCs w:val="36"/>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EB6CC42-4270-47AA-A8FB-FC00E40392BA}">
  <ds:schemaRefs/>
</ds:datastoreItem>
</file>

<file path=docProps/app.xml><?xml version="1.0" encoding="utf-8"?>
<Properties xmlns="http://schemas.openxmlformats.org/officeDocument/2006/extended-properties" xmlns:vt="http://schemas.openxmlformats.org/officeDocument/2006/docPropsVTypes">
  <Template>Normal</Template>
  <Company>Lenovo (Beijing) Limited</Company>
  <Pages>42</Pages>
  <Words>15593</Words>
  <Characters>16603</Characters>
  <Lines>130</Lines>
  <Paragraphs>36</Paragraphs>
  <TotalTime>0</TotalTime>
  <ScaleCrop>false</ScaleCrop>
  <LinksUpToDate>false</LinksUpToDate>
  <CharactersWithSpaces>16845</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2021-08-28T02:15:00Z</dcterms:created>
  <dc:creator>Lenovo User</dc:creator>
  <cp:lastModifiedBy>水云间</cp:lastModifiedBy>
  <cp:lastPrinted>2021-09-13T02:51:00Z</cp:lastPrinted>
  <dcterms:modified xsi:type="dcterms:W3CDTF">2021-09-30T07:08:28Z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56C0F184063845778A18E1F678240725</vt:lpwstr>
  </property>
</Properties>
</file>